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FCE" w:rsidRPr="00627B77" w:rsidRDefault="001C7FCE" w:rsidP="00627B77">
      <w:pPr>
        <w:spacing w:line="480" w:lineRule="auto"/>
        <w:jc w:val="center"/>
        <w:rPr>
          <w:rFonts w:ascii="Times New Roman" w:hAnsi="Times New Roman" w:cs="Times New Roman"/>
          <w:sz w:val="24"/>
          <w:szCs w:val="24"/>
        </w:rPr>
      </w:pPr>
    </w:p>
    <w:p w:rsidR="001C7FCE" w:rsidRPr="00627B77" w:rsidRDefault="001C7FCE" w:rsidP="00627B77">
      <w:pPr>
        <w:spacing w:line="480" w:lineRule="auto"/>
        <w:jc w:val="center"/>
        <w:rPr>
          <w:rFonts w:ascii="Times New Roman" w:hAnsi="Times New Roman" w:cs="Times New Roman"/>
          <w:sz w:val="24"/>
          <w:szCs w:val="24"/>
        </w:rPr>
      </w:pPr>
    </w:p>
    <w:p w:rsidR="001C7FCE" w:rsidRPr="00627B77" w:rsidRDefault="001C7FCE" w:rsidP="00627B77">
      <w:pPr>
        <w:spacing w:line="480" w:lineRule="auto"/>
        <w:jc w:val="center"/>
        <w:rPr>
          <w:rFonts w:ascii="Times New Roman" w:hAnsi="Times New Roman" w:cs="Times New Roman"/>
          <w:sz w:val="24"/>
          <w:szCs w:val="24"/>
        </w:rPr>
      </w:pPr>
    </w:p>
    <w:p w:rsidR="001C7FCE" w:rsidRPr="00627B77" w:rsidRDefault="001C7FCE" w:rsidP="00627B77">
      <w:pPr>
        <w:spacing w:line="480" w:lineRule="auto"/>
        <w:jc w:val="center"/>
        <w:rPr>
          <w:rFonts w:ascii="Times New Roman" w:hAnsi="Times New Roman" w:cs="Times New Roman"/>
          <w:sz w:val="24"/>
          <w:szCs w:val="24"/>
        </w:rPr>
      </w:pPr>
    </w:p>
    <w:p w:rsidR="001C7FCE" w:rsidRPr="00627B77" w:rsidRDefault="001C7FCE" w:rsidP="00627B77">
      <w:pPr>
        <w:spacing w:line="480" w:lineRule="auto"/>
        <w:jc w:val="center"/>
        <w:rPr>
          <w:rFonts w:ascii="Times New Roman" w:hAnsi="Times New Roman" w:cs="Times New Roman"/>
          <w:sz w:val="24"/>
          <w:szCs w:val="24"/>
        </w:rPr>
      </w:pPr>
    </w:p>
    <w:p w:rsidR="001C7FCE" w:rsidRPr="00627B77" w:rsidRDefault="001C7FCE" w:rsidP="00627B77">
      <w:pPr>
        <w:spacing w:line="480" w:lineRule="auto"/>
        <w:jc w:val="center"/>
        <w:rPr>
          <w:rFonts w:ascii="Times New Roman" w:hAnsi="Times New Roman" w:cs="Times New Roman"/>
          <w:sz w:val="24"/>
          <w:szCs w:val="24"/>
        </w:rPr>
      </w:pPr>
    </w:p>
    <w:p w:rsidR="001C7FCE" w:rsidRPr="00627B77" w:rsidRDefault="001C7FCE" w:rsidP="00627B77">
      <w:pPr>
        <w:spacing w:line="480" w:lineRule="auto"/>
        <w:jc w:val="center"/>
        <w:rPr>
          <w:rFonts w:ascii="Times New Roman" w:hAnsi="Times New Roman" w:cs="Times New Roman"/>
          <w:sz w:val="24"/>
          <w:szCs w:val="24"/>
        </w:rPr>
      </w:pPr>
    </w:p>
    <w:p w:rsidR="0003206C" w:rsidRPr="00627B77" w:rsidRDefault="008B0B40" w:rsidP="00627B77">
      <w:pPr>
        <w:spacing w:line="480" w:lineRule="auto"/>
        <w:jc w:val="center"/>
        <w:rPr>
          <w:rFonts w:ascii="Times New Roman" w:hAnsi="Times New Roman" w:cs="Times New Roman"/>
          <w:sz w:val="24"/>
          <w:szCs w:val="24"/>
        </w:rPr>
      </w:pPr>
      <w:r w:rsidRPr="00627B77">
        <w:rPr>
          <w:rFonts w:ascii="Times New Roman" w:hAnsi="Times New Roman" w:cs="Times New Roman"/>
          <w:sz w:val="24"/>
          <w:szCs w:val="24"/>
        </w:rPr>
        <w:t>Wood Reuse Hub Business Plan</w:t>
      </w:r>
    </w:p>
    <w:p w:rsidR="001C7FCE" w:rsidRPr="00627B77" w:rsidRDefault="001C7FCE" w:rsidP="00627B77">
      <w:pPr>
        <w:spacing w:line="480" w:lineRule="auto"/>
        <w:jc w:val="center"/>
        <w:rPr>
          <w:rFonts w:ascii="Times New Roman" w:hAnsi="Times New Roman" w:cs="Times New Roman"/>
          <w:sz w:val="24"/>
          <w:szCs w:val="24"/>
        </w:rPr>
      </w:pPr>
      <w:r w:rsidRPr="00627B77">
        <w:rPr>
          <w:rFonts w:ascii="Times New Roman" w:hAnsi="Times New Roman" w:cs="Times New Roman"/>
          <w:sz w:val="24"/>
          <w:szCs w:val="24"/>
        </w:rPr>
        <w:t>Name</w:t>
      </w:r>
    </w:p>
    <w:p w:rsidR="001C7FCE" w:rsidRPr="00627B77" w:rsidRDefault="001C7FCE" w:rsidP="00627B77">
      <w:pPr>
        <w:spacing w:line="480" w:lineRule="auto"/>
        <w:jc w:val="center"/>
        <w:rPr>
          <w:rFonts w:ascii="Times New Roman" w:hAnsi="Times New Roman" w:cs="Times New Roman"/>
          <w:sz w:val="24"/>
          <w:szCs w:val="24"/>
        </w:rPr>
      </w:pPr>
      <w:r w:rsidRPr="00627B77">
        <w:rPr>
          <w:rFonts w:ascii="Times New Roman" w:hAnsi="Times New Roman" w:cs="Times New Roman"/>
          <w:sz w:val="24"/>
          <w:szCs w:val="24"/>
        </w:rPr>
        <w:t>Institution</w:t>
      </w:r>
    </w:p>
    <w:p w:rsidR="001C7FCE" w:rsidRPr="00627B77" w:rsidRDefault="001C7FCE" w:rsidP="00627B77">
      <w:pPr>
        <w:spacing w:line="480" w:lineRule="auto"/>
        <w:jc w:val="center"/>
        <w:rPr>
          <w:rFonts w:ascii="Times New Roman" w:hAnsi="Times New Roman" w:cs="Times New Roman"/>
          <w:sz w:val="24"/>
          <w:szCs w:val="24"/>
        </w:rPr>
      </w:pPr>
      <w:r w:rsidRPr="00627B77">
        <w:rPr>
          <w:rFonts w:ascii="Times New Roman" w:hAnsi="Times New Roman" w:cs="Times New Roman"/>
          <w:sz w:val="24"/>
          <w:szCs w:val="24"/>
        </w:rPr>
        <w:t>Date</w:t>
      </w:r>
    </w:p>
    <w:p w:rsidR="001C7FCE" w:rsidRPr="00627B77" w:rsidRDefault="001C7FCE" w:rsidP="00627B77">
      <w:pPr>
        <w:spacing w:line="480" w:lineRule="auto"/>
        <w:rPr>
          <w:rFonts w:ascii="Times New Roman" w:hAnsi="Times New Roman" w:cs="Times New Roman"/>
          <w:sz w:val="24"/>
          <w:szCs w:val="24"/>
        </w:rPr>
      </w:pPr>
    </w:p>
    <w:p w:rsidR="001C7FCE" w:rsidRPr="00627B77" w:rsidRDefault="001C7FCE" w:rsidP="00627B77">
      <w:pPr>
        <w:spacing w:line="480" w:lineRule="auto"/>
        <w:rPr>
          <w:rFonts w:ascii="Times New Roman" w:hAnsi="Times New Roman" w:cs="Times New Roman"/>
          <w:sz w:val="24"/>
          <w:szCs w:val="24"/>
        </w:rPr>
      </w:pPr>
      <w:r w:rsidRPr="00627B77">
        <w:rPr>
          <w:rFonts w:ascii="Times New Roman" w:hAnsi="Times New Roman" w:cs="Times New Roman"/>
          <w:sz w:val="24"/>
          <w:szCs w:val="24"/>
        </w:rPr>
        <w:br w:type="page"/>
      </w:r>
    </w:p>
    <w:p w:rsidR="0015533E" w:rsidRPr="00627B77" w:rsidRDefault="0015533E" w:rsidP="00627B77">
      <w:pPr>
        <w:spacing w:line="480" w:lineRule="auto"/>
        <w:jc w:val="center"/>
        <w:rPr>
          <w:rFonts w:ascii="Times New Roman" w:hAnsi="Times New Roman" w:cs="Times New Roman"/>
          <w:b/>
          <w:sz w:val="24"/>
          <w:szCs w:val="24"/>
        </w:rPr>
      </w:pPr>
      <w:r w:rsidRPr="00627B77">
        <w:rPr>
          <w:rFonts w:ascii="Times New Roman" w:hAnsi="Times New Roman" w:cs="Times New Roman"/>
          <w:b/>
          <w:sz w:val="24"/>
          <w:szCs w:val="24"/>
        </w:rPr>
        <w:lastRenderedPageBreak/>
        <w:t>Executive Summary</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Wood Reuse Hub aims to collect, distribute, and remanufacture from and back to communities and individuals to benefit t</w:t>
      </w:r>
      <w:bookmarkStart w:id="0" w:name="_GoBack"/>
      <w:bookmarkEnd w:id="0"/>
      <w:r w:rsidRPr="00627B77">
        <w:rPr>
          <w:rFonts w:ascii="Times New Roman" w:hAnsi="Times New Roman" w:cs="Times New Roman"/>
          <w:sz w:val="24"/>
          <w:szCs w:val="24"/>
        </w:rPr>
        <w:t xml:space="preserve">hem through a reuse economy and reduce wood resource extraction. In most parts of the United States and other countries, the linear wood supply chain involves wood extraction for burgeoning development. The deforestation of rainforests is only benefiting the economically privileged while harming the less privileged communities. Every year, millions of tons of wood from demolished constructions is wasted through landfills. Wood Reuse Hub will improve salvaged wood reuse and recycling by over 80%. </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The business is created to assist the local communities by providing wood for building houses and furniture while empowering communities through vocational training, work experience, and socioeconomic support within the wood reuse economy. It also intends to improve the efficiency and effectiveness of reusing and recycling wood material. With an estimated $1,470,706 of salvageable wood material available annually at San Antonio, the Wood Reuse Hub provides an opportunity to create a central place where good quality wood needed by the owners can be collected distributed for reuse as building and furniture materials by communities. With a 50% pricing compared with virgin lumber, the salvaged wood offers value for money. </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The company's primary target market for Wood Reuse Hub is residents and entrepreneurs. These users and sellers of lumber enhance the ability of the hub to collect and store quality wood/timber </w:t>
      </w:r>
      <w:r w:rsidR="002453EE" w:rsidRPr="00627B77">
        <w:rPr>
          <w:rFonts w:ascii="Times New Roman" w:hAnsi="Times New Roman" w:cs="Times New Roman"/>
          <w:sz w:val="24"/>
          <w:szCs w:val="24"/>
        </w:rPr>
        <w:t>allows</w:t>
      </w:r>
      <w:r w:rsidRPr="00627B77">
        <w:rPr>
          <w:rFonts w:ascii="Times New Roman" w:hAnsi="Times New Roman" w:cs="Times New Roman"/>
          <w:sz w:val="24"/>
          <w:szCs w:val="24"/>
        </w:rPr>
        <w:t xml:space="preserve"> local communities to store and access material for large-scale application in furniture and buildings. Springfield, Massachusetts, a central collection and distribution location, offers increased accessibility for freight collection to other states and abroad using railroad and interstate highways link to 11 northeastern states.</w:t>
      </w:r>
    </w:p>
    <w:p w:rsidR="0015533E" w:rsidRPr="00627B77" w:rsidRDefault="0015533E" w:rsidP="00627B77">
      <w:pPr>
        <w:spacing w:line="480" w:lineRule="auto"/>
        <w:jc w:val="center"/>
        <w:rPr>
          <w:rFonts w:ascii="Times New Roman" w:hAnsi="Times New Roman" w:cs="Times New Roman"/>
          <w:sz w:val="24"/>
          <w:szCs w:val="24"/>
        </w:rPr>
      </w:pPr>
      <w:r w:rsidRPr="00627B77">
        <w:rPr>
          <w:rFonts w:ascii="Times New Roman" w:hAnsi="Times New Roman" w:cs="Times New Roman"/>
          <w:sz w:val="24"/>
          <w:szCs w:val="24"/>
        </w:rPr>
        <w:lastRenderedPageBreak/>
        <w:t>Wood Reuse Hub Business Plan</w:t>
      </w:r>
    </w:p>
    <w:p w:rsidR="006D277A" w:rsidRPr="00627B77" w:rsidRDefault="006D277A"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Company Background</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This business plan covers Wood Reuse Hub's business tasked with providing easily accessible and affordable wood material to communities in San Antonio and other parts of the United States. </w:t>
      </w:r>
      <w:r w:rsidR="00AA79EF" w:rsidRPr="00627B77">
        <w:rPr>
          <w:rFonts w:ascii="Times New Roman" w:hAnsi="Times New Roman" w:cs="Times New Roman"/>
          <w:sz w:val="24"/>
          <w:szCs w:val="24"/>
        </w:rPr>
        <w:t>The Wood Reuse Hub central collection and distribution center shall be located at Springfield, Massachusetts. The location offers increased accessibility for freight collection to other states and abroad using railroad and interstate highways link to 11 northeastern states</w:t>
      </w:r>
    </w:p>
    <w:p w:rsidR="006D277A" w:rsidRPr="00627B77" w:rsidRDefault="006D277A"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Problem Solved by the Business</w:t>
      </w:r>
    </w:p>
    <w:p w:rsidR="006D277A" w:rsidRPr="00627B77" w:rsidRDefault="006D277A"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Communities across the world are extracting natural resources at a rate considered unsustainable. If every country continues to utilize resources like the United States, there will be no planet for the next generations. The resultant major problem is the adverse climatic change that is attributable to global warming. Our primary goal as the current inhabitants is to make the planet a conducive environment for the generations to come. One of the natural resources that are highly exploited and underutilized in the United States is wood. Wood reuse hub aims at collecting, distributing, and remanufacturing wood to benefit individuals and communities most harmed by wood exploitation. Substantial amounts of extracted wood are wasted every year when buildings are demolished. Wood is considered recycled when crushed to form mulch, incinerated to create biofuels, or crushed and glued to form particle boards. As a result, most of the wood found in areas without such services is wasted through landfills. As noted by the business vision, mission, and goals, the business will involve collecting, distributing, and remanufacturing waste wood resources. </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Vision</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lastRenderedPageBreak/>
        <w:t xml:space="preserve">The vision of Wood Reuse Hub is to improve the lives of needy communities in our local communities and ensure the long-term sustainability of our environment.   The business is created to assist the local communities by providing wood for building houses and furniture while empowering communities through vocational training, work experience, and socioeconomic support. It also intends to improve the efficiency and effectiveness of reusing and recycling wood material. </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 xml:space="preserve">Mission </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The mission of Wood Reuse Hub opens a door of opportunities for different people in our society. The hub provides a central location for collecting, distributing, and remanufacturing wood resources in the country. As a result, it provides wood for reuse as building materials and furniture among the disadvantaged. It also provides training and employment opportunities for communities to enhance socioeconomic stability and inclusion. The hub will reduce wood landfills and fresh wood extraction through deforestation by reusing good quality wood, which eventually improves the overall environmental conservation efforts. </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The mission shall be reviewed and modified where necessary at the company's annual strategy meetings. The amendments will be effected to reflect the improved focus of our business activities. </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Goals and Objectives</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The Wood Reuse Hub aims to help the less privileged in our society to obtain affordable building and furniture materials. The business will also reduce distress and hardship by providing local communities training, support, and employment opportunities. The aim will be achieved through the following objectives;</w:t>
      </w:r>
    </w:p>
    <w:p w:rsidR="0015533E" w:rsidRPr="00627B77" w:rsidRDefault="0015533E" w:rsidP="00627B77">
      <w:pPr>
        <w:pStyle w:val="ListParagraph"/>
        <w:numPr>
          <w:ilvl w:val="0"/>
          <w:numId w:val="3"/>
        </w:numPr>
        <w:spacing w:line="480" w:lineRule="auto"/>
        <w:rPr>
          <w:rFonts w:ascii="Times New Roman" w:hAnsi="Times New Roman" w:cs="Times New Roman"/>
          <w:sz w:val="24"/>
          <w:szCs w:val="24"/>
        </w:rPr>
      </w:pPr>
      <w:r w:rsidRPr="00627B77">
        <w:rPr>
          <w:rFonts w:ascii="Times New Roman" w:hAnsi="Times New Roman" w:cs="Times New Roman"/>
          <w:sz w:val="24"/>
          <w:szCs w:val="24"/>
        </w:rPr>
        <w:lastRenderedPageBreak/>
        <w:t>Collecting and distributing quality wood materials from households and organizations that is no longer needed and would otherwise be buried in landfills by owners</w:t>
      </w:r>
    </w:p>
    <w:p w:rsidR="0015533E" w:rsidRPr="00627B77" w:rsidRDefault="0015533E" w:rsidP="00627B77">
      <w:pPr>
        <w:pStyle w:val="ListParagraph"/>
        <w:numPr>
          <w:ilvl w:val="0"/>
          <w:numId w:val="3"/>
        </w:numPr>
        <w:spacing w:line="480" w:lineRule="auto"/>
        <w:rPr>
          <w:rFonts w:ascii="Times New Roman" w:hAnsi="Times New Roman" w:cs="Times New Roman"/>
          <w:sz w:val="24"/>
          <w:szCs w:val="24"/>
        </w:rPr>
      </w:pPr>
      <w:r w:rsidRPr="00627B77">
        <w:rPr>
          <w:rFonts w:ascii="Times New Roman" w:hAnsi="Times New Roman" w:cs="Times New Roman"/>
          <w:sz w:val="24"/>
          <w:szCs w:val="24"/>
        </w:rPr>
        <w:t>Establishing a central point, Springfield, Massachusetts, where the needy can access and purchase affordable furniture and building wood materials and have them delivered.</w:t>
      </w:r>
    </w:p>
    <w:p w:rsidR="0015533E" w:rsidRPr="00627B77" w:rsidRDefault="0015533E" w:rsidP="00627B77">
      <w:pPr>
        <w:pStyle w:val="ListParagraph"/>
        <w:numPr>
          <w:ilvl w:val="0"/>
          <w:numId w:val="3"/>
        </w:numPr>
        <w:spacing w:line="480" w:lineRule="auto"/>
        <w:rPr>
          <w:rFonts w:ascii="Times New Roman" w:hAnsi="Times New Roman" w:cs="Times New Roman"/>
          <w:sz w:val="24"/>
          <w:szCs w:val="24"/>
        </w:rPr>
      </w:pPr>
      <w:r w:rsidRPr="00627B77">
        <w:rPr>
          <w:rFonts w:ascii="Times New Roman" w:hAnsi="Times New Roman" w:cs="Times New Roman"/>
          <w:sz w:val="24"/>
          <w:szCs w:val="24"/>
        </w:rPr>
        <w:t xml:space="preserve">Providing training and employment opportunities for our communities through the wood reuse economy by collecting and delivering wood material to the hub and distribution to various destinations. </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Wood Reuse Hub Business Profile</w:t>
      </w:r>
    </w:p>
    <w:p w:rsidR="0015533E" w:rsidRPr="00627B77" w:rsidRDefault="0015533E" w:rsidP="00627B77">
      <w:pPr>
        <w:spacing w:line="480" w:lineRule="auto"/>
        <w:rPr>
          <w:rFonts w:ascii="Times New Roman" w:hAnsi="Times New Roman" w:cs="Times New Roman"/>
          <w:sz w:val="24"/>
          <w:szCs w:val="24"/>
        </w:rPr>
      </w:pPr>
      <w:r w:rsidRPr="00627B77">
        <w:rPr>
          <w:rFonts w:ascii="Times New Roman" w:hAnsi="Times New Roman" w:cs="Times New Roman"/>
          <w:sz w:val="24"/>
          <w:szCs w:val="24"/>
        </w:rPr>
        <w:t>The business is set up for three primary reasons;</w:t>
      </w:r>
    </w:p>
    <w:p w:rsidR="0015533E" w:rsidRPr="00627B77" w:rsidRDefault="0015533E" w:rsidP="00627B77">
      <w:pPr>
        <w:pStyle w:val="ListParagraph"/>
        <w:numPr>
          <w:ilvl w:val="0"/>
          <w:numId w:val="4"/>
        </w:numPr>
        <w:spacing w:line="480" w:lineRule="auto"/>
        <w:rPr>
          <w:rFonts w:ascii="Times New Roman" w:hAnsi="Times New Roman" w:cs="Times New Roman"/>
          <w:sz w:val="24"/>
          <w:szCs w:val="24"/>
        </w:rPr>
      </w:pPr>
      <w:r w:rsidRPr="00627B77">
        <w:rPr>
          <w:rFonts w:ascii="Times New Roman" w:hAnsi="Times New Roman" w:cs="Times New Roman"/>
          <w:sz w:val="24"/>
          <w:szCs w:val="24"/>
        </w:rPr>
        <w:t>To ensure good quality wood is not wasted through landfills</w:t>
      </w:r>
    </w:p>
    <w:p w:rsidR="0015533E" w:rsidRPr="00627B77" w:rsidRDefault="0015533E" w:rsidP="00627B77">
      <w:pPr>
        <w:pStyle w:val="ListParagraph"/>
        <w:numPr>
          <w:ilvl w:val="0"/>
          <w:numId w:val="4"/>
        </w:numPr>
        <w:spacing w:line="480" w:lineRule="auto"/>
        <w:rPr>
          <w:rFonts w:ascii="Times New Roman" w:hAnsi="Times New Roman" w:cs="Times New Roman"/>
          <w:sz w:val="24"/>
          <w:szCs w:val="24"/>
        </w:rPr>
      </w:pPr>
      <w:r w:rsidRPr="00627B77">
        <w:rPr>
          <w:rFonts w:ascii="Times New Roman" w:hAnsi="Times New Roman" w:cs="Times New Roman"/>
          <w:sz w:val="24"/>
          <w:szCs w:val="24"/>
        </w:rPr>
        <w:t>To reduce exploitation of fresh wood resources by providing quality materials for furniture and building to local communities at an affordable cost.</w:t>
      </w:r>
    </w:p>
    <w:p w:rsidR="0015533E" w:rsidRPr="00627B77" w:rsidRDefault="0015533E" w:rsidP="00627B77">
      <w:pPr>
        <w:pStyle w:val="ListParagraph"/>
        <w:numPr>
          <w:ilvl w:val="0"/>
          <w:numId w:val="4"/>
        </w:numPr>
        <w:spacing w:line="480" w:lineRule="auto"/>
        <w:rPr>
          <w:rFonts w:ascii="Times New Roman" w:hAnsi="Times New Roman" w:cs="Times New Roman"/>
          <w:sz w:val="24"/>
          <w:szCs w:val="24"/>
        </w:rPr>
      </w:pPr>
      <w:r w:rsidRPr="00627B77">
        <w:rPr>
          <w:rFonts w:ascii="Times New Roman" w:hAnsi="Times New Roman" w:cs="Times New Roman"/>
          <w:sz w:val="24"/>
          <w:szCs w:val="24"/>
        </w:rPr>
        <w:t xml:space="preserve">To offer training and employment opportunities to less privileged in the society in the wood reuse supply chain. </w:t>
      </w:r>
    </w:p>
    <w:p w:rsidR="00AA79EF" w:rsidRPr="00627B77" w:rsidRDefault="00AA79EF"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Corporate Structure</w:t>
      </w:r>
    </w:p>
    <w:p w:rsidR="00AA79EF" w:rsidRPr="00627B77" w:rsidRDefault="00AA79EF" w:rsidP="00627B77">
      <w:pPr>
        <w:spacing w:line="480" w:lineRule="auto"/>
        <w:ind w:firstLine="360"/>
        <w:rPr>
          <w:rFonts w:ascii="Times New Roman" w:hAnsi="Times New Roman" w:cs="Times New Roman"/>
          <w:sz w:val="24"/>
          <w:szCs w:val="24"/>
        </w:rPr>
      </w:pPr>
      <w:r w:rsidRPr="00627B77">
        <w:rPr>
          <w:rFonts w:ascii="Times New Roman" w:hAnsi="Times New Roman" w:cs="Times New Roman"/>
          <w:sz w:val="24"/>
          <w:szCs w:val="24"/>
        </w:rPr>
        <w:t xml:space="preserve">The Wood Reuse Hub </w:t>
      </w:r>
      <w:r w:rsidR="00B74BC3" w:rsidRPr="00627B77">
        <w:rPr>
          <w:rFonts w:ascii="Times New Roman" w:hAnsi="Times New Roman" w:cs="Times New Roman"/>
          <w:sz w:val="24"/>
          <w:szCs w:val="24"/>
        </w:rPr>
        <w:t>corporate</w:t>
      </w:r>
      <w:r w:rsidR="00D6279E" w:rsidRPr="00627B77">
        <w:rPr>
          <w:rFonts w:ascii="Times New Roman" w:hAnsi="Times New Roman" w:cs="Times New Roman"/>
          <w:sz w:val="24"/>
          <w:szCs w:val="24"/>
        </w:rPr>
        <w:t xml:space="preserve"> structure shall include a board of directors who will oversee all business activities. It will also constitute of five integral departments; operations, finance, marketing and public relations, human resource and IT and research. </w:t>
      </w:r>
      <w:r w:rsidRPr="00627B77">
        <w:rPr>
          <w:rFonts w:ascii="Times New Roman" w:hAnsi="Times New Roman" w:cs="Times New Roman"/>
          <w:sz w:val="24"/>
          <w:szCs w:val="24"/>
        </w:rPr>
        <w:t xml:space="preserve">Each department shall be headed by a departmental </w:t>
      </w:r>
      <w:r w:rsidR="00B108CD" w:rsidRPr="00627B77">
        <w:rPr>
          <w:rFonts w:ascii="Times New Roman" w:hAnsi="Times New Roman" w:cs="Times New Roman"/>
          <w:sz w:val="24"/>
          <w:szCs w:val="24"/>
        </w:rPr>
        <w:t>director</w:t>
      </w:r>
      <w:r w:rsidRPr="00627B77">
        <w:rPr>
          <w:rFonts w:ascii="Times New Roman" w:hAnsi="Times New Roman" w:cs="Times New Roman"/>
          <w:sz w:val="24"/>
          <w:szCs w:val="24"/>
        </w:rPr>
        <w:t xml:space="preserve"> who </w:t>
      </w:r>
      <w:r w:rsidR="00B108CD" w:rsidRPr="00627B77">
        <w:rPr>
          <w:rFonts w:ascii="Times New Roman" w:hAnsi="Times New Roman" w:cs="Times New Roman"/>
          <w:sz w:val="24"/>
          <w:szCs w:val="24"/>
        </w:rPr>
        <w:t>will oversee</w:t>
      </w:r>
      <w:r w:rsidRPr="00627B77">
        <w:rPr>
          <w:rFonts w:ascii="Times New Roman" w:hAnsi="Times New Roman" w:cs="Times New Roman"/>
          <w:sz w:val="24"/>
          <w:szCs w:val="24"/>
        </w:rPr>
        <w:t xml:space="preserve"> the department operations and shall report to the Chief Executive Officer.</w:t>
      </w:r>
    </w:p>
    <w:p w:rsidR="00B108CD" w:rsidRPr="00627B77" w:rsidRDefault="00B108CD" w:rsidP="00627B77">
      <w:pPr>
        <w:spacing w:line="480" w:lineRule="auto"/>
        <w:ind w:firstLine="360"/>
        <w:rPr>
          <w:rFonts w:ascii="Times New Roman" w:hAnsi="Times New Roman" w:cs="Times New Roman"/>
          <w:sz w:val="24"/>
          <w:szCs w:val="24"/>
        </w:rPr>
      </w:pPr>
      <w:r w:rsidRPr="00627B77">
        <w:rPr>
          <w:rFonts w:ascii="Times New Roman" w:hAnsi="Times New Roman" w:cs="Times New Roman"/>
          <w:noProof/>
          <w:sz w:val="24"/>
          <w:szCs w:val="24"/>
        </w:rPr>
        <w:lastRenderedPageBreak/>
        <w:drawing>
          <wp:inline distT="0" distB="0" distL="0" distR="0">
            <wp:extent cx="5486400" cy="3200400"/>
            <wp:effectExtent l="1905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ED6D08" w:rsidRPr="00627B77" w:rsidRDefault="00ED6D08"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Industry and Competition</w:t>
      </w:r>
    </w:p>
    <w:p w:rsidR="00ED6D08" w:rsidRPr="00627B77" w:rsidRDefault="00ED6D08"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There are numerous private business entities (130 at San Antonio) engaged in reusing and recycling wood material in the country (</w:t>
      </w:r>
      <w:r w:rsidRPr="00627B77">
        <w:rPr>
          <w:rFonts w:ascii="Times New Roman" w:hAnsi="Times New Roman" w:cs="Times New Roman"/>
          <w:color w:val="222222"/>
          <w:sz w:val="24"/>
          <w:szCs w:val="24"/>
          <w:shd w:val="clear" w:color="auto" w:fill="FFFFFF"/>
        </w:rPr>
        <w:t>Ross, 2020)</w:t>
      </w:r>
      <w:r w:rsidRPr="00627B77">
        <w:rPr>
          <w:rFonts w:ascii="Times New Roman" w:hAnsi="Times New Roman" w:cs="Times New Roman"/>
          <w:sz w:val="24"/>
          <w:szCs w:val="24"/>
        </w:rPr>
        <w:t xml:space="preserve">. However, creating a central hub for collecting and distributing wood materials for reuse and recycling is what is lacking. With an estimated $1,470,706 of salvageable wood material available annually at San Antonio, the Wood Reuse Hub provides an opportunity to create a central place where good quality wood needed by the owners can be collected distributed for reuse as building and furniture materials by communities. It also provides a central location for recycling companies to gather raw materials. </w:t>
      </w:r>
    </w:p>
    <w:p w:rsidR="00CB7E86" w:rsidRPr="00627B77" w:rsidRDefault="00CB7E86"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The biggest competition for the Wood Reuse Hub is the salvage wood users who source directly </w:t>
      </w:r>
      <w:r w:rsidR="00B74BC3" w:rsidRPr="00627B77">
        <w:rPr>
          <w:rFonts w:ascii="Times New Roman" w:hAnsi="Times New Roman" w:cs="Times New Roman"/>
          <w:sz w:val="24"/>
          <w:szCs w:val="24"/>
        </w:rPr>
        <w:t>from</w:t>
      </w:r>
      <w:r w:rsidRPr="00627B77">
        <w:rPr>
          <w:rFonts w:ascii="Times New Roman" w:hAnsi="Times New Roman" w:cs="Times New Roman"/>
          <w:sz w:val="24"/>
          <w:szCs w:val="24"/>
        </w:rPr>
        <w:t xml:space="preserve"> the demolition sites, private contractors, and wood recycling companies. However, the company does not perceive them as a threat to business survival. Rather, the aim is to complement the current market players and improve efficiency in the industry. Most of these small scale players lack the capacity to acquire and store large quantities of salvage wood </w:t>
      </w:r>
      <w:r w:rsidRPr="00627B77">
        <w:rPr>
          <w:rFonts w:ascii="Times New Roman" w:hAnsi="Times New Roman" w:cs="Times New Roman"/>
          <w:sz w:val="24"/>
          <w:szCs w:val="24"/>
        </w:rPr>
        <w:lastRenderedPageBreak/>
        <w:t xml:space="preserve">leading to increased wood landfills. Wood Reuse Hub provides a bigger platform and an opportunity to partner small industry player to ensure excess wood is not </w:t>
      </w:r>
      <w:r w:rsidR="00B74BC3" w:rsidRPr="00627B77">
        <w:rPr>
          <w:rFonts w:ascii="Times New Roman" w:hAnsi="Times New Roman" w:cs="Times New Roman"/>
          <w:sz w:val="24"/>
          <w:szCs w:val="24"/>
        </w:rPr>
        <w:t>land filled</w:t>
      </w:r>
      <w:r w:rsidRPr="00627B77">
        <w:rPr>
          <w:rFonts w:ascii="Times New Roman" w:hAnsi="Times New Roman" w:cs="Times New Roman"/>
          <w:sz w:val="24"/>
          <w:szCs w:val="24"/>
        </w:rPr>
        <w:t xml:space="preserve"> but collected and stored at the company’s Springfield storage and resource center. </w:t>
      </w:r>
    </w:p>
    <w:p w:rsidR="0015533E" w:rsidRPr="00627B77" w:rsidRDefault="0015533E" w:rsidP="00627B77">
      <w:pPr>
        <w:spacing w:line="480" w:lineRule="auto"/>
        <w:jc w:val="center"/>
        <w:rPr>
          <w:rFonts w:ascii="Times New Roman" w:hAnsi="Times New Roman" w:cs="Times New Roman"/>
          <w:b/>
          <w:sz w:val="24"/>
          <w:szCs w:val="24"/>
        </w:rPr>
      </w:pPr>
      <w:r w:rsidRPr="00627B77">
        <w:rPr>
          <w:rFonts w:ascii="Times New Roman" w:hAnsi="Times New Roman" w:cs="Times New Roman"/>
          <w:b/>
          <w:sz w:val="24"/>
          <w:szCs w:val="24"/>
        </w:rPr>
        <w:t>Market and Market Segmentation</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Wood is a commodity used by many people; hence, Wood Reuse Hub Business will definitely command a significant market niche. The company's primary target market for Wood Reuse Hub is local residents and entrepreneurs. These users and sellers of lumber enhance the ability of the hub to collect and store quality wood/timber </w:t>
      </w:r>
      <w:r w:rsidR="00B74BC3" w:rsidRPr="00627B77">
        <w:rPr>
          <w:rFonts w:ascii="Times New Roman" w:hAnsi="Times New Roman" w:cs="Times New Roman"/>
          <w:sz w:val="24"/>
          <w:szCs w:val="24"/>
        </w:rPr>
        <w:t>allows</w:t>
      </w:r>
      <w:r w:rsidRPr="00627B77">
        <w:rPr>
          <w:rFonts w:ascii="Times New Roman" w:hAnsi="Times New Roman" w:cs="Times New Roman"/>
          <w:sz w:val="24"/>
          <w:szCs w:val="24"/>
        </w:rPr>
        <w:t xml:space="preserve"> local communities to store and access material for large-scale application in furniture and buildings. The wood/timber identified as good quality will be delivered to communities for reuse across the country and abroad. The users and sellers of salvaged wood represent the individuals and businesses that utilize the materials sold to them or the group that sells salvaged wood materials. They include Building designers, used building materials, sellers, building restoration and preservation, furniture designers and custom builders, surplus and salvage merchandisers, and woodworkers. The current collective sales volumes for salvaged wood in San Antonio totals over $51,580,000. With a well-coordinated deconstruction ordinance, the supply of material among these users and sellers would grow significantly. </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The secondary target market includes the construction industry and architects who will benefit from wood's steady flow and volume for reuse and recycling. The nationwide need for salvaged wood is enormous. It is estimated that home remodeling and repairing within San Antonio only see people spend over $2.05 billion </w:t>
      </w:r>
      <w:r w:rsidR="002453EE" w:rsidRPr="00627B77">
        <w:rPr>
          <w:rFonts w:ascii="Times New Roman" w:hAnsi="Times New Roman" w:cs="Times New Roman"/>
          <w:sz w:val="24"/>
          <w:szCs w:val="24"/>
        </w:rPr>
        <w:t>annually (</w:t>
      </w:r>
      <w:r w:rsidR="00916D2B" w:rsidRPr="00627B77">
        <w:rPr>
          <w:rFonts w:ascii="Times New Roman" w:hAnsi="Times New Roman" w:cs="Times New Roman"/>
          <w:color w:val="222222"/>
          <w:sz w:val="24"/>
          <w:szCs w:val="24"/>
          <w:shd w:val="clear" w:color="auto" w:fill="FFFFFF"/>
        </w:rPr>
        <w:t>PlaceEconomics, 2021)</w:t>
      </w:r>
      <w:r w:rsidRPr="00627B77">
        <w:rPr>
          <w:rFonts w:ascii="Times New Roman" w:hAnsi="Times New Roman" w:cs="Times New Roman"/>
          <w:sz w:val="24"/>
          <w:szCs w:val="24"/>
        </w:rPr>
        <w:t xml:space="preserve">. Besides, the low-quality or salvaged wood/timber will be sold to recycling companies to produce mulch, incinerated to create biofuels, or crushed and glued to form particle boards. The local economy </w:t>
      </w:r>
      <w:r w:rsidRPr="00627B77">
        <w:rPr>
          <w:rFonts w:ascii="Times New Roman" w:hAnsi="Times New Roman" w:cs="Times New Roman"/>
          <w:sz w:val="24"/>
          <w:szCs w:val="24"/>
        </w:rPr>
        <w:lastRenderedPageBreak/>
        <w:t xml:space="preserve">can only thrive when there are opportunities for a skilled workforce to reuse the salvaged materials and deliver new products to a growing market. The secondary target market can help reduce the consumption of raw materials and enhance the reuse of materials as a renewable source of economic progression. </w:t>
      </w:r>
    </w:p>
    <w:p w:rsidR="0015533E" w:rsidRPr="00627B77" w:rsidRDefault="0015533E" w:rsidP="00627B77">
      <w:pPr>
        <w:spacing w:line="480" w:lineRule="auto"/>
        <w:jc w:val="center"/>
        <w:rPr>
          <w:rFonts w:ascii="Times New Roman" w:hAnsi="Times New Roman" w:cs="Times New Roman"/>
          <w:b/>
          <w:sz w:val="24"/>
          <w:szCs w:val="24"/>
        </w:rPr>
      </w:pPr>
      <w:r w:rsidRPr="00627B77">
        <w:rPr>
          <w:rFonts w:ascii="Times New Roman" w:hAnsi="Times New Roman" w:cs="Times New Roman"/>
          <w:b/>
          <w:sz w:val="24"/>
          <w:szCs w:val="24"/>
        </w:rPr>
        <w:t>Marketing – 4 P's</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Product</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Our product is the salvaged wood material from building deconstruction. The business aims to collect and distribute wood materials to individual and entrepreneurial consumers at their desired destinations for various economic uses at affordable costs. The reuse of salvaged wood offers an opportunity to improve environmental conservation by reducing deforestation and landfills by approximately 80%</w:t>
      </w:r>
      <w:r w:rsidR="00916D2B" w:rsidRPr="00627B77">
        <w:rPr>
          <w:rFonts w:ascii="Times New Roman" w:hAnsi="Times New Roman" w:cs="Times New Roman"/>
          <w:sz w:val="24"/>
          <w:szCs w:val="24"/>
        </w:rPr>
        <w:t>(</w:t>
      </w:r>
      <w:r w:rsidR="00916D2B" w:rsidRPr="00627B77">
        <w:rPr>
          <w:rFonts w:ascii="Times New Roman" w:hAnsi="Times New Roman" w:cs="Times New Roman"/>
          <w:color w:val="222222"/>
          <w:sz w:val="24"/>
          <w:szCs w:val="24"/>
          <w:shd w:val="clear" w:color="auto" w:fill="FFFFFF"/>
        </w:rPr>
        <w:t>PlaceEconomics, 2021)</w:t>
      </w:r>
      <w:r w:rsidRPr="00627B77">
        <w:rPr>
          <w:rFonts w:ascii="Times New Roman" w:hAnsi="Times New Roman" w:cs="Times New Roman"/>
          <w:sz w:val="24"/>
          <w:szCs w:val="24"/>
        </w:rPr>
        <w:t xml:space="preserve">. </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Place</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The Wood Reuse Hub proposes a central collection and distribution center in Springfield, Massachusetts. The location offers increased accessibility for freight collection to other states and abroad using railroad and interstate highways link to 11 northeastern states</w:t>
      </w:r>
      <w:r w:rsidR="00916D2B" w:rsidRPr="00627B77">
        <w:rPr>
          <w:rFonts w:ascii="Times New Roman" w:hAnsi="Times New Roman" w:cs="Times New Roman"/>
          <w:sz w:val="24"/>
          <w:szCs w:val="24"/>
        </w:rPr>
        <w:t xml:space="preserve"> (</w:t>
      </w:r>
      <w:r w:rsidR="00916D2B" w:rsidRPr="00627B77">
        <w:rPr>
          <w:rFonts w:ascii="Times New Roman" w:hAnsi="Times New Roman" w:cs="Times New Roman"/>
          <w:color w:val="222222"/>
          <w:sz w:val="24"/>
          <w:szCs w:val="24"/>
          <w:shd w:val="clear" w:color="auto" w:fill="FFFFFF"/>
        </w:rPr>
        <w:t>PlaceEconomics, 2021)</w:t>
      </w:r>
      <w:r w:rsidR="00916D2B" w:rsidRPr="00627B77">
        <w:rPr>
          <w:rFonts w:ascii="Times New Roman" w:hAnsi="Times New Roman" w:cs="Times New Roman"/>
          <w:sz w:val="24"/>
          <w:szCs w:val="24"/>
        </w:rPr>
        <w:t xml:space="preserve">. </w:t>
      </w:r>
      <w:r w:rsidRPr="00627B77">
        <w:rPr>
          <w:rFonts w:ascii="Times New Roman" w:hAnsi="Times New Roman" w:cs="Times New Roman"/>
          <w:sz w:val="24"/>
          <w:szCs w:val="24"/>
        </w:rPr>
        <w:t xml:space="preserve">The site will also double as a training center to increase the workforce within the wood reuse economy. The distribution objective is to reach the less privileged in society who lack access to quality and affordable building and furniture materials. The distribution objective shall be achieved through partnership with local organizations through outreach. Not-for-profit institutions such as Urban Wood Economic Inc., which provide services across the country, will help increase opportunities for used lumber. Besides, we shall also </w:t>
      </w:r>
      <w:r w:rsidRPr="00627B77">
        <w:rPr>
          <w:rFonts w:ascii="Times New Roman" w:hAnsi="Times New Roman" w:cs="Times New Roman"/>
          <w:sz w:val="24"/>
          <w:szCs w:val="24"/>
        </w:rPr>
        <w:lastRenderedPageBreak/>
        <w:t xml:space="preserve">partner with for-profit institutions and agencies at city, state, and federal levels. The partnerships will provide the San Antonio-based business with a network across the country to start from. </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Price</w:t>
      </w:r>
    </w:p>
    <w:p w:rsidR="0015533E"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 xml:space="preserve">Wood Reuse Hub aims to sell good quality wood at a 50% price compared to virgin lumber cost. The pricing strategy is both value-based and competitive. Value-based because consumers view salvaged wood material as second class and competitive because charging consumers 50% less for good quality lumber encouraged them to consume more.  As a result, the pricing will create an opportunity for individuals and entrepreneurs to access inexpensive materials as part of our mission niche. </w:t>
      </w:r>
    </w:p>
    <w:p w:rsidR="0015533E" w:rsidRPr="00627B77" w:rsidRDefault="0015533E" w:rsidP="00627B77">
      <w:pPr>
        <w:spacing w:line="480" w:lineRule="auto"/>
        <w:rPr>
          <w:rFonts w:ascii="Times New Roman" w:hAnsi="Times New Roman" w:cs="Times New Roman"/>
          <w:b/>
          <w:sz w:val="24"/>
          <w:szCs w:val="24"/>
        </w:rPr>
      </w:pPr>
      <w:r w:rsidRPr="00627B77">
        <w:rPr>
          <w:rFonts w:ascii="Times New Roman" w:hAnsi="Times New Roman" w:cs="Times New Roman"/>
          <w:b/>
          <w:sz w:val="24"/>
          <w:szCs w:val="24"/>
        </w:rPr>
        <w:t>Promotion</w:t>
      </w:r>
    </w:p>
    <w:p w:rsidR="00294CF8" w:rsidRPr="00627B77" w:rsidRDefault="0015533E" w:rsidP="00627B77">
      <w:pPr>
        <w:spacing w:line="480" w:lineRule="auto"/>
        <w:ind w:firstLine="720"/>
        <w:rPr>
          <w:rFonts w:ascii="Times New Roman" w:hAnsi="Times New Roman" w:cs="Times New Roman"/>
          <w:sz w:val="24"/>
          <w:szCs w:val="24"/>
        </w:rPr>
      </w:pPr>
      <w:r w:rsidRPr="00627B77">
        <w:rPr>
          <w:rFonts w:ascii="Times New Roman" w:hAnsi="Times New Roman" w:cs="Times New Roman"/>
          <w:sz w:val="24"/>
          <w:szCs w:val="24"/>
        </w:rPr>
        <w:t>The need to enhance environmental conservation through reduced deforestation by increasing the reuse of salvaged wood is an approach that environmentalists and local governments widely support. Providing a central site known to local authorities ensures marketing of our product through word-of-mouth. Besides, engaging the users and sellers of salvaged wood will enhance the ability to influence sales for our product. Most of these people only need one place that is reliable and accessible to collect all they need instead of collecting bits from different sellers. Civic engagements through a deconstruction economy position are crucial in changing attitudes and promoting the reuse of wood. The business will fund the development of a community salvage wood app to increase salvage wood collection and reuse opportunities at community levels. Lastly, workforce development through training communities to engage in the wood reuse economy will ensure the requisite skills are available, subsequently opening more opportunities for collecting and distributing salvaged wood materials.</w:t>
      </w:r>
    </w:p>
    <w:p w:rsidR="003956B0" w:rsidRPr="00627B77" w:rsidRDefault="0021319A" w:rsidP="00627B77">
      <w:pPr>
        <w:spacing w:line="480" w:lineRule="auto"/>
        <w:ind w:firstLine="720"/>
        <w:jc w:val="center"/>
        <w:rPr>
          <w:rFonts w:ascii="Times New Roman" w:hAnsi="Times New Roman" w:cs="Times New Roman"/>
          <w:b/>
          <w:sz w:val="24"/>
          <w:szCs w:val="24"/>
        </w:rPr>
      </w:pPr>
      <w:r w:rsidRPr="00627B77">
        <w:rPr>
          <w:rFonts w:ascii="Times New Roman" w:hAnsi="Times New Roman" w:cs="Times New Roman"/>
          <w:b/>
          <w:sz w:val="24"/>
          <w:szCs w:val="24"/>
        </w:rPr>
        <w:lastRenderedPageBreak/>
        <w:t>Communication Flow Chart</w:t>
      </w:r>
    </w:p>
    <w:p w:rsidR="003956B0" w:rsidRPr="00627B77" w:rsidRDefault="003956B0" w:rsidP="00627B77">
      <w:pPr>
        <w:spacing w:line="480" w:lineRule="auto"/>
        <w:rPr>
          <w:rFonts w:ascii="Times New Roman" w:hAnsi="Times New Roman" w:cs="Times New Roman"/>
          <w:sz w:val="24"/>
          <w:szCs w:val="24"/>
        </w:rPr>
      </w:pPr>
      <w:r w:rsidRPr="00627B77">
        <w:rPr>
          <w:rFonts w:ascii="Times New Roman" w:hAnsi="Times New Roman" w:cs="Times New Roman"/>
          <w:sz w:val="24"/>
          <w:szCs w:val="24"/>
        </w:rPr>
        <w:t xml:space="preserve">The business model creates a circular economy where the business will meet different </w:t>
      </w:r>
      <w:r w:rsidR="00111EFE" w:rsidRPr="00627B77">
        <w:rPr>
          <w:rFonts w:ascii="Times New Roman" w:hAnsi="Times New Roman" w:cs="Times New Roman"/>
          <w:sz w:val="24"/>
          <w:szCs w:val="24"/>
        </w:rPr>
        <w:t xml:space="preserve">stakeholders for multi-listing services. For instance, the business will maintain communication with government agencies, users and sellers and communities through skills training programs. The communication flow for business objectives and strategies will be as follows; </w:t>
      </w:r>
    </w:p>
    <w:p w:rsidR="00CE5C99" w:rsidRPr="00627B77" w:rsidRDefault="00CE5C99" w:rsidP="00627B77">
      <w:pPr>
        <w:spacing w:line="480" w:lineRule="auto"/>
        <w:rPr>
          <w:rFonts w:ascii="Times New Roman" w:hAnsi="Times New Roman" w:cs="Times New Roman"/>
          <w:sz w:val="24"/>
          <w:szCs w:val="24"/>
        </w:rPr>
      </w:pPr>
      <w:r w:rsidRPr="00627B77">
        <w:rPr>
          <w:rFonts w:ascii="Times New Roman" w:hAnsi="Times New Roman" w:cs="Times New Roman"/>
          <w:noProof/>
          <w:sz w:val="24"/>
          <w:szCs w:val="24"/>
        </w:rPr>
        <w:drawing>
          <wp:inline distT="0" distB="0" distL="0" distR="0">
            <wp:extent cx="4600575" cy="3333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00575" cy="3333750"/>
                    </a:xfrm>
                    <a:prstGeom prst="rect">
                      <a:avLst/>
                    </a:prstGeom>
                  </pic:spPr>
                </pic:pic>
              </a:graphicData>
            </a:graphic>
          </wp:inline>
        </w:drawing>
      </w:r>
    </w:p>
    <w:p w:rsidR="009925E5" w:rsidRPr="00627B77" w:rsidRDefault="009925E5" w:rsidP="00627B77">
      <w:pPr>
        <w:spacing w:line="480" w:lineRule="auto"/>
        <w:jc w:val="center"/>
        <w:rPr>
          <w:rFonts w:ascii="Times New Roman" w:hAnsi="Times New Roman" w:cs="Times New Roman"/>
          <w:b/>
          <w:sz w:val="24"/>
          <w:szCs w:val="24"/>
        </w:rPr>
      </w:pPr>
      <w:r w:rsidRPr="00627B77">
        <w:rPr>
          <w:rFonts w:ascii="Times New Roman" w:hAnsi="Times New Roman" w:cs="Times New Roman"/>
          <w:b/>
          <w:sz w:val="24"/>
          <w:szCs w:val="24"/>
        </w:rPr>
        <w:t>Market Mix Budget Breakdown</w:t>
      </w:r>
    </w:p>
    <w:tbl>
      <w:tblPr>
        <w:tblStyle w:val="TableGrid"/>
        <w:tblW w:w="9464" w:type="dxa"/>
        <w:tblLook w:val="04A0"/>
      </w:tblPr>
      <w:tblGrid>
        <w:gridCol w:w="3289"/>
        <w:gridCol w:w="3087"/>
        <w:gridCol w:w="3088"/>
      </w:tblGrid>
      <w:tr w:rsidR="009925E5" w:rsidRPr="00627B77" w:rsidTr="007D4837">
        <w:tc>
          <w:tcPr>
            <w:tcW w:w="3289" w:type="dxa"/>
          </w:tcPr>
          <w:p w:rsidR="009925E5" w:rsidRPr="00627B77" w:rsidRDefault="009925E5" w:rsidP="00627B77">
            <w:pPr>
              <w:spacing w:line="240" w:lineRule="auto"/>
              <w:rPr>
                <w:rFonts w:ascii="Times New Roman" w:hAnsi="Times New Roman" w:cs="Times New Roman"/>
                <w:b/>
                <w:sz w:val="24"/>
                <w:szCs w:val="24"/>
              </w:rPr>
            </w:pPr>
            <w:r w:rsidRPr="00627B77">
              <w:rPr>
                <w:rFonts w:ascii="Times New Roman" w:hAnsi="Times New Roman" w:cs="Times New Roman"/>
                <w:b/>
                <w:sz w:val="24"/>
                <w:szCs w:val="24"/>
              </w:rPr>
              <w:t>Promotion technique</w:t>
            </w:r>
          </w:p>
        </w:tc>
        <w:tc>
          <w:tcPr>
            <w:tcW w:w="3087" w:type="dxa"/>
          </w:tcPr>
          <w:p w:rsidR="009925E5" w:rsidRPr="00627B77" w:rsidRDefault="009925E5" w:rsidP="00627B77">
            <w:pPr>
              <w:spacing w:line="240" w:lineRule="auto"/>
              <w:rPr>
                <w:rFonts w:ascii="Times New Roman" w:hAnsi="Times New Roman" w:cs="Times New Roman"/>
                <w:b/>
                <w:sz w:val="24"/>
                <w:szCs w:val="24"/>
              </w:rPr>
            </w:pPr>
            <w:r w:rsidRPr="00627B77">
              <w:rPr>
                <w:rFonts w:ascii="Times New Roman" w:hAnsi="Times New Roman" w:cs="Times New Roman"/>
                <w:b/>
                <w:sz w:val="24"/>
                <w:szCs w:val="24"/>
              </w:rPr>
              <w:t>Potential cost (low, moderate, high)</w:t>
            </w:r>
          </w:p>
        </w:tc>
        <w:tc>
          <w:tcPr>
            <w:tcW w:w="3088" w:type="dxa"/>
          </w:tcPr>
          <w:p w:rsidR="009925E5" w:rsidRPr="00627B77" w:rsidRDefault="009925E5" w:rsidP="00627B77">
            <w:pPr>
              <w:spacing w:line="240" w:lineRule="auto"/>
              <w:rPr>
                <w:rFonts w:ascii="Times New Roman" w:hAnsi="Times New Roman" w:cs="Times New Roman"/>
                <w:b/>
                <w:sz w:val="24"/>
                <w:szCs w:val="24"/>
              </w:rPr>
            </w:pPr>
            <w:r w:rsidRPr="00627B77">
              <w:rPr>
                <w:rFonts w:ascii="Times New Roman" w:hAnsi="Times New Roman" w:cs="Times New Roman"/>
                <w:b/>
                <w:sz w:val="24"/>
                <w:szCs w:val="24"/>
              </w:rPr>
              <w:t>Stakeholder approval probability (low, moderate, high)</w:t>
            </w:r>
          </w:p>
        </w:tc>
      </w:tr>
      <w:tr w:rsidR="00A71967" w:rsidRPr="00627B77" w:rsidTr="007D4837">
        <w:tc>
          <w:tcPr>
            <w:tcW w:w="3289" w:type="dxa"/>
          </w:tcPr>
          <w:p w:rsidR="00A71967" w:rsidRPr="00627B77" w:rsidRDefault="00A71967"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Grant income for deconstruction</w:t>
            </w:r>
          </w:p>
        </w:tc>
        <w:tc>
          <w:tcPr>
            <w:tcW w:w="3087" w:type="dxa"/>
          </w:tcPr>
          <w:p w:rsidR="00A71967" w:rsidRPr="00627B77" w:rsidRDefault="00A71967" w:rsidP="00627B77">
            <w:pPr>
              <w:spacing w:line="240" w:lineRule="auto"/>
              <w:rPr>
                <w:rFonts w:ascii="Times New Roman" w:hAnsi="Times New Roman" w:cs="Times New Roman"/>
                <w:b/>
                <w:sz w:val="24"/>
                <w:szCs w:val="24"/>
              </w:rPr>
            </w:pPr>
            <w:r w:rsidRPr="00627B77">
              <w:rPr>
                <w:rFonts w:ascii="Times New Roman" w:hAnsi="Times New Roman" w:cs="Times New Roman"/>
                <w:b/>
                <w:sz w:val="24"/>
                <w:szCs w:val="24"/>
              </w:rPr>
              <w:t xml:space="preserve">Moderate </w:t>
            </w:r>
          </w:p>
        </w:tc>
        <w:tc>
          <w:tcPr>
            <w:tcW w:w="3088" w:type="dxa"/>
          </w:tcPr>
          <w:p w:rsidR="00A71967" w:rsidRPr="00627B77" w:rsidRDefault="00A71967" w:rsidP="00627B77">
            <w:pPr>
              <w:spacing w:line="240" w:lineRule="auto"/>
              <w:rPr>
                <w:rFonts w:ascii="Times New Roman" w:hAnsi="Times New Roman" w:cs="Times New Roman"/>
                <w:b/>
                <w:sz w:val="24"/>
                <w:szCs w:val="24"/>
              </w:rPr>
            </w:pPr>
            <w:r w:rsidRPr="00627B77">
              <w:rPr>
                <w:rFonts w:ascii="Times New Roman" w:hAnsi="Times New Roman" w:cs="Times New Roman"/>
                <w:b/>
                <w:sz w:val="24"/>
                <w:szCs w:val="24"/>
              </w:rPr>
              <w:t>High</w:t>
            </w:r>
          </w:p>
        </w:tc>
      </w:tr>
      <w:tr w:rsidR="009925E5" w:rsidRPr="00627B77" w:rsidTr="007D4837">
        <w:tc>
          <w:tcPr>
            <w:tcW w:w="3289"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Partner with creative reuse organizations</w:t>
            </w:r>
          </w:p>
        </w:tc>
        <w:tc>
          <w:tcPr>
            <w:tcW w:w="3087"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Low</w:t>
            </w:r>
          </w:p>
        </w:tc>
        <w:tc>
          <w:tcPr>
            <w:tcW w:w="3088"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High</w:t>
            </w:r>
          </w:p>
        </w:tc>
      </w:tr>
      <w:tr w:rsidR="009925E5" w:rsidRPr="00627B77" w:rsidTr="007D4837">
        <w:tc>
          <w:tcPr>
            <w:tcW w:w="3289"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Workforce development</w:t>
            </w:r>
          </w:p>
        </w:tc>
        <w:tc>
          <w:tcPr>
            <w:tcW w:w="3087"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 xml:space="preserve">High </w:t>
            </w:r>
          </w:p>
        </w:tc>
        <w:tc>
          <w:tcPr>
            <w:tcW w:w="3088"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 xml:space="preserve">High </w:t>
            </w:r>
          </w:p>
        </w:tc>
      </w:tr>
      <w:tr w:rsidR="009925E5" w:rsidRPr="00627B77" w:rsidTr="007D4837">
        <w:tc>
          <w:tcPr>
            <w:tcW w:w="3289"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 xml:space="preserve">Develop a community wood salvage app. </w:t>
            </w:r>
          </w:p>
        </w:tc>
        <w:tc>
          <w:tcPr>
            <w:tcW w:w="3087"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 xml:space="preserve">High </w:t>
            </w:r>
          </w:p>
        </w:tc>
        <w:tc>
          <w:tcPr>
            <w:tcW w:w="3088" w:type="dxa"/>
          </w:tcPr>
          <w:p w:rsidR="009925E5" w:rsidRPr="00627B77" w:rsidRDefault="009925E5"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High</w:t>
            </w:r>
          </w:p>
        </w:tc>
      </w:tr>
      <w:tr w:rsidR="00A71967" w:rsidRPr="00627B77" w:rsidTr="007D4837">
        <w:tc>
          <w:tcPr>
            <w:tcW w:w="3289" w:type="dxa"/>
          </w:tcPr>
          <w:p w:rsidR="00A71967" w:rsidRPr="00627B77" w:rsidRDefault="00A71967"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 xml:space="preserve">Warehouse cost </w:t>
            </w:r>
          </w:p>
        </w:tc>
        <w:tc>
          <w:tcPr>
            <w:tcW w:w="3087" w:type="dxa"/>
          </w:tcPr>
          <w:p w:rsidR="00A71967" w:rsidRPr="00627B77" w:rsidRDefault="00A71967"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 xml:space="preserve">Moderate </w:t>
            </w:r>
          </w:p>
        </w:tc>
        <w:tc>
          <w:tcPr>
            <w:tcW w:w="3088" w:type="dxa"/>
          </w:tcPr>
          <w:p w:rsidR="00A71967" w:rsidRPr="00627B77" w:rsidRDefault="00A71967" w:rsidP="00627B77">
            <w:pPr>
              <w:spacing w:line="240" w:lineRule="auto"/>
              <w:rPr>
                <w:rFonts w:ascii="Times New Roman" w:hAnsi="Times New Roman" w:cs="Times New Roman"/>
                <w:sz w:val="24"/>
                <w:szCs w:val="24"/>
              </w:rPr>
            </w:pPr>
            <w:r w:rsidRPr="00627B77">
              <w:rPr>
                <w:rFonts w:ascii="Times New Roman" w:hAnsi="Times New Roman" w:cs="Times New Roman"/>
                <w:sz w:val="24"/>
                <w:szCs w:val="24"/>
              </w:rPr>
              <w:t>High</w:t>
            </w:r>
          </w:p>
        </w:tc>
      </w:tr>
    </w:tbl>
    <w:p w:rsidR="00DC6489" w:rsidRPr="00627B77" w:rsidRDefault="00DC6489" w:rsidP="00627B77">
      <w:pPr>
        <w:spacing w:line="480" w:lineRule="auto"/>
        <w:rPr>
          <w:rFonts w:ascii="Times New Roman" w:hAnsi="Times New Roman" w:cs="Times New Roman"/>
          <w:sz w:val="24"/>
          <w:szCs w:val="24"/>
        </w:rPr>
      </w:pPr>
    </w:p>
    <w:p w:rsidR="00B108CD" w:rsidRPr="00627B77" w:rsidRDefault="00B108CD" w:rsidP="00627B77">
      <w:pPr>
        <w:tabs>
          <w:tab w:val="left" w:pos="1440"/>
        </w:tabs>
        <w:spacing w:before="100" w:beforeAutospacing="1" w:after="100" w:afterAutospacing="1" w:line="480" w:lineRule="auto"/>
        <w:ind w:left="630" w:hanging="630"/>
        <w:jc w:val="center"/>
        <w:rPr>
          <w:rFonts w:ascii="Times New Roman" w:eastAsia="Times New Roman" w:hAnsi="Times New Roman" w:cs="Times New Roman"/>
          <w:b/>
          <w:bCs/>
          <w:sz w:val="24"/>
          <w:szCs w:val="24"/>
        </w:rPr>
      </w:pPr>
      <w:r w:rsidRPr="00627B77">
        <w:rPr>
          <w:rFonts w:ascii="Times New Roman" w:eastAsia="Times New Roman" w:hAnsi="Times New Roman" w:cs="Times New Roman"/>
          <w:b/>
          <w:bCs/>
          <w:sz w:val="24"/>
          <w:szCs w:val="24"/>
        </w:rPr>
        <w:lastRenderedPageBreak/>
        <w:t>Production, Operations, Organization, Management, Human Resources, and Financial Statements</w:t>
      </w:r>
    </w:p>
    <w:p w:rsidR="005A5533" w:rsidRPr="00627B77" w:rsidRDefault="005A5533"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sz w:val="24"/>
          <w:szCs w:val="24"/>
        </w:rPr>
      </w:pPr>
      <w:r w:rsidRPr="00627B77">
        <w:rPr>
          <w:rFonts w:ascii="Times New Roman" w:eastAsia="Times New Roman" w:hAnsi="Times New Roman" w:cs="Times New Roman"/>
          <w:b/>
          <w:bCs/>
          <w:sz w:val="24"/>
          <w:szCs w:val="24"/>
        </w:rPr>
        <w:t>Production and Operation</w:t>
      </w:r>
    </w:p>
    <w:p w:rsidR="005A5533" w:rsidRPr="00627B77" w:rsidRDefault="005A5533" w:rsidP="00627B77">
      <w:pPr>
        <w:spacing w:line="480" w:lineRule="auto"/>
        <w:ind w:firstLine="630"/>
        <w:rPr>
          <w:rFonts w:ascii="Times New Roman" w:hAnsi="Times New Roman" w:cs="Times New Roman"/>
          <w:sz w:val="24"/>
          <w:szCs w:val="24"/>
        </w:rPr>
      </w:pPr>
      <w:r w:rsidRPr="00627B77">
        <w:rPr>
          <w:rFonts w:ascii="Times New Roman" w:hAnsi="Times New Roman" w:cs="Times New Roman"/>
          <w:sz w:val="24"/>
          <w:szCs w:val="24"/>
        </w:rPr>
        <w:t xml:space="preserve">The business will focus on collecting, storing and distributing quality wood materials from households and organizations that is no longer needed and would otherwise be buried in landfills by owners. The Wood Reuse Hub will establish a central collection and storage point, Springfield, Massachusetts, where the people can access and purchase affordable furniture and building wood materials and have them delivered across states. The Springfield storage will also double as a resource center for providing </w:t>
      </w:r>
      <w:r w:rsidR="00D6279E" w:rsidRPr="00627B77">
        <w:rPr>
          <w:rFonts w:ascii="Times New Roman" w:hAnsi="Times New Roman" w:cs="Times New Roman"/>
          <w:sz w:val="24"/>
          <w:szCs w:val="24"/>
        </w:rPr>
        <w:t xml:space="preserve">wood reuse </w:t>
      </w:r>
      <w:r w:rsidRPr="00627B77">
        <w:rPr>
          <w:rFonts w:ascii="Times New Roman" w:hAnsi="Times New Roman" w:cs="Times New Roman"/>
          <w:sz w:val="24"/>
          <w:szCs w:val="24"/>
        </w:rPr>
        <w:t>training</w:t>
      </w:r>
      <w:r w:rsidR="00D6279E" w:rsidRPr="00627B77">
        <w:rPr>
          <w:rFonts w:ascii="Times New Roman" w:hAnsi="Times New Roman" w:cs="Times New Roman"/>
          <w:sz w:val="24"/>
          <w:szCs w:val="24"/>
        </w:rPr>
        <w:t xml:space="preserve">, skill improvement </w:t>
      </w:r>
      <w:r w:rsidRPr="00627B77">
        <w:rPr>
          <w:rFonts w:ascii="Times New Roman" w:hAnsi="Times New Roman" w:cs="Times New Roman"/>
          <w:sz w:val="24"/>
          <w:szCs w:val="24"/>
        </w:rPr>
        <w:t xml:space="preserve">and employment opportunities for our communities through the wood reuse economy.  </w:t>
      </w:r>
    </w:p>
    <w:p w:rsidR="00D6279E" w:rsidRPr="00627B77" w:rsidRDefault="00D6279E" w:rsidP="00627B77">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627B77">
        <w:rPr>
          <w:rFonts w:ascii="Times New Roman" w:eastAsia="Times New Roman" w:hAnsi="Times New Roman" w:cs="Times New Roman"/>
          <w:b/>
          <w:bCs/>
          <w:sz w:val="24"/>
          <w:szCs w:val="24"/>
        </w:rPr>
        <w:t>Organization, Management and Human Resources</w:t>
      </w:r>
    </w:p>
    <w:p w:rsidR="00D6279E" w:rsidRPr="00627B77" w:rsidRDefault="00D6279E" w:rsidP="00627B77">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627B77">
        <w:rPr>
          <w:rFonts w:ascii="Times New Roman" w:hAnsi="Times New Roman" w:cs="Times New Roman"/>
          <w:sz w:val="24"/>
          <w:szCs w:val="24"/>
        </w:rPr>
        <w:t>The Wood Reuse Hub shall consist of the following distinct departments to carry out the various roles and meet the institution’s goals.</w:t>
      </w:r>
    </w:p>
    <w:p w:rsidR="00B108CD" w:rsidRPr="00627B77" w:rsidRDefault="00B108CD" w:rsidP="00627B77">
      <w:pPr>
        <w:pStyle w:val="ListParagraph"/>
        <w:numPr>
          <w:ilvl w:val="0"/>
          <w:numId w:val="5"/>
        </w:numPr>
        <w:spacing w:after="0" w:line="480" w:lineRule="auto"/>
        <w:rPr>
          <w:rFonts w:ascii="Times New Roman" w:hAnsi="Times New Roman" w:cs="Times New Roman"/>
          <w:sz w:val="24"/>
          <w:szCs w:val="24"/>
        </w:rPr>
      </w:pPr>
      <w:r w:rsidRPr="00627B77">
        <w:rPr>
          <w:rFonts w:ascii="Times New Roman" w:hAnsi="Times New Roman" w:cs="Times New Roman"/>
          <w:b/>
          <w:sz w:val="24"/>
          <w:szCs w:val="24"/>
        </w:rPr>
        <w:t xml:space="preserve">Chief Executive Officer </w:t>
      </w:r>
    </w:p>
    <w:p w:rsidR="00B108CD" w:rsidRPr="00627B77" w:rsidRDefault="00B108CD" w:rsidP="00627B77">
      <w:pPr>
        <w:pStyle w:val="ListParagraph"/>
        <w:spacing w:line="480" w:lineRule="auto"/>
        <w:rPr>
          <w:rFonts w:ascii="Times New Roman" w:hAnsi="Times New Roman" w:cs="Times New Roman"/>
          <w:sz w:val="24"/>
          <w:szCs w:val="24"/>
        </w:rPr>
      </w:pPr>
      <w:r w:rsidRPr="00627B77">
        <w:rPr>
          <w:rFonts w:ascii="Times New Roman" w:hAnsi="Times New Roman" w:cs="Times New Roman"/>
          <w:sz w:val="24"/>
          <w:szCs w:val="24"/>
        </w:rPr>
        <w:t>The Chief Executive Officer shall be the overall director in charge of overseeing strategic operations of the business in meeting short term and long term goals.</w:t>
      </w:r>
    </w:p>
    <w:p w:rsidR="00B108CD" w:rsidRPr="00627B77" w:rsidRDefault="00B108CD" w:rsidP="00627B77">
      <w:pPr>
        <w:pStyle w:val="ListParagraph"/>
        <w:numPr>
          <w:ilvl w:val="0"/>
          <w:numId w:val="5"/>
        </w:numPr>
        <w:spacing w:after="0" w:line="480" w:lineRule="auto"/>
        <w:rPr>
          <w:rFonts w:ascii="Times New Roman" w:hAnsi="Times New Roman" w:cs="Times New Roman"/>
          <w:sz w:val="24"/>
          <w:szCs w:val="24"/>
        </w:rPr>
      </w:pPr>
      <w:r w:rsidRPr="00627B77">
        <w:rPr>
          <w:rFonts w:ascii="Times New Roman" w:hAnsi="Times New Roman" w:cs="Times New Roman"/>
          <w:b/>
          <w:sz w:val="24"/>
          <w:szCs w:val="24"/>
        </w:rPr>
        <w:t>Company Secretary</w:t>
      </w:r>
    </w:p>
    <w:p w:rsidR="00B108CD" w:rsidRPr="00627B77" w:rsidRDefault="00B108CD" w:rsidP="00627B77">
      <w:pPr>
        <w:pStyle w:val="ListParagraph"/>
        <w:spacing w:line="480" w:lineRule="auto"/>
        <w:rPr>
          <w:rFonts w:ascii="Times New Roman" w:hAnsi="Times New Roman" w:cs="Times New Roman"/>
          <w:sz w:val="24"/>
          <w:szCs w:val="24"/>
        </w:rPr>
      </w:pPr>
      <w:r w:rsidRPr="00627B77">
        <w:rPr>
          <w:rFonts w:ascii="Times New Roman" w:hAnsi="Times New Roman" w:cs="Times New Roman"/>
          <w:sz w:val="24"/>
          <w:szCs w:val="24"/>
        </w:rPr>
        <w:t xml:space="preserve">The company secretary shall be responsible for legal advice and taking of minutes in </w:t>
      </w:r>
      <w:r w:rsidR="00D6279E" w:rsidRPr="00627B77">
        <w:rPr>
          <w:rFonts w:ascii="Times New Roman" w:hAnsi="Times New Roman" w:cs="Times New Roman"/>
          <w:sz w:val="24"/>
          <w:szCs w:val="24"/>
        </w:rPr>
        <w:t xml:space="preserve">board </w:t>
      </w:r>
      <w:r w:rsidRPr="00627B77">
        <w:rPr>
          <w:rFonts w:ascii="Times New Roman" w:hAnsi="Times New Roman" w:cs="Times New Roman"/>
          <w:sz w:val="24"/>
          <w:szCs w:val="24"/>
        </w:rPr>
        <w:t>meetings.</w:t>
      </w:r>
    </w:p>
    <w:p w:rsidR="00B108CD" w:rsidRPr="00627B77" w:rsidRDefault="00B108CD" w:rsidP="00627B77">
      <w:pPr>
        <w:pStyle w:val="ListParagraph"/>
        <w:numPr>
          <w:ilvl w:val="0"/>
          <w:numId w:val="5"/>
        </w:numPr>
        <w:spacing w:after="0" w:line="480" w:lineRule="auto"/>
        <w:rPr>
          <w:rFonts w:ascii="Times New Roman" w:hAnsi="Times New Roman" w:cs="Times New Roman"/>
          <w:sz w:val="24"/>
          <w:szCs w:val="24"/>
        </w:rPr>
      </w:pPr>
      <w:r w:rsidRPr="00627B77">
        <w:rPr>
          <w:rFonts w:ascii="Times New Roman" w:hAnsi="Times New Roman" w:cs="Times New Roman"/>
          <w:b/>
          <w:sz w:val="24"/>
          <w:szCs w:val="24"/>
        </w:rPr>
        <w:t>Human Resource Department</w:t>
      </w:r>
    </w:p>
    <w:p w:rsidR="00B108CD" w:rsidRPr="00627B77" w:rsidRDefault="00B108CD" w:rsidP="00627B77">
      <w:pPr>
        <w:pStyle w:val="ListParagraph"/>
        <w:spacing w:line="480" w:lineRule="auto"/>
        <w:rPr>
          <w:rFonts w:ascii="Times New Roman" w:hAnsi="Times New Roman" w:cs="Times New Roman"/>
          <w:sz w:val="24"/>
          <w:szCs w:val="24"/>
        </w:rPr>
      </w:pPr>
      <w:r w:rsidRPr="00627B77">
        <w:rPr>
          <w:rFonts w:ascii="Times New Roman" w:hAnsi="Times New Roman" w:cs="Times New Roman"/>
          <w:sz w:val="24"/>
          <w:szCs w:val="24"/>
        </w:rPr>
        <w:lastRenderedPageBreak/>
        <w:t>This department shall be responsible for the recruitment, development, training and appraisal, motivation of employees.</w:t>
      </w:r>
      <w:r w:rsidR="00D6279E" w:rsidRPr="00627B77">
        <w:rPr>
          <w:rFonts w:ascii="Times New Roman" w:hAnsi="Times New Roman" w:cs="Times New Roman"/>
          <w:sz w:val="24"/>
          <w:szCs w:val="24"/>
        </w:rPr>
        <w:t xml:space="preserve"> It shall also oversee the resource center for training and improving reuse economy skills among local communities. </w:t>
      </w:r>
    </w:p>
    <w:p w:rsidR="00B108CD" w:rsidRPr="00627B77" w:rsidRDefault="00B108CD" w:rsidP="00627B77">
      <w:pPr>
        <w:pStyle w:val="ListParagraph"/>
        <w:numPr>
          <w:ilvl w:val="0"/>
          <w:numId w:val="5"/>
        </w:numPr>
        <w:spacing w:after="200" w:line="480" w:lineRule="auto"/>
        <w:rPr>
          <w:rFonts w:ascii="Times New Roman" w:hAnsi="Times New Roman" w:cs="Times New Roman"/>
          <w:b/>
          <w:sz w:val="24"/>
          <w:szCs w:val="24"/>
        </w:rPr>
      </w:pPr>
      <w:r w:rsidRPr="00627B77">
        <w:rPr>
          <w:rFonts w:ascii="Times New Roman" w:hAnsi="Times New Roman" w:cs="Times New Roman"/>
          <w:b/>
          <w:sz w:val="24"/>
          <w:szCs w:val="24"/>
        </w:rPr>
        <w:t>Finance Department</w:t>
      </w:r>
    </w:p>
    <w:p w:rsidR="00B108CD" w:rsidRPr="00627B77" w:rsidRDefault="00B108CD" w:rsidP="00627B77">
      <w:pPr>
        <w:pStyle w:val="ListParagraph"/>
        <w:spacing w:line="480" w:lineRule="auto"/>
        <w:rPr>
          <w:rFonts w:ascii="Times New Roman" w:hAnsi="Times New Roman" w:cs="Times New Roman"/>
          <w:sz w:val="24"/>
          <w:szCs w:val="24"/>
        </w:rPr>
      </w:pPr>
      <w:r w:rsidRPr="00627B77">
        <w:rPr>
          <w:rFonts w:ascii="Times New Roman" w:hAnsi="Times New Roman" w:cs="Times New Roman"/>
          <w:sz w:val="24"/>
          <w:szCs w:val="24"/>
        </w:rPr>
        <w:t>This department shall be concerned with the keeping of records of accounts and preparation of financial statements. It shall also do cost benefit analysis and evaluation of projects.</w:t>
      </w:r>
    </w:p>
    <w:p w:rsidR="00B108CD" w:rsidRPr="00627B77" w:rsidRDefault="00B108CD" w:rsidP="00627B77">
      <w:pPr>
        <w:pStyle w:val="ListParagraph"/>
        <w:numPr>
          <w:ilvl w:val="0"/>
          <w:numId w:val="5"/>
        </w:numPr>
        <w:spacing w:after="200" w:line="480" w:lineRule="auto"/>
        <w:rPr>
          <w:rFonts w:ascii="Times New Roman" w:hAnsi="Times New Roman" w:cs="Times New Roman"/>
          <w:b/>
          <w:sz w:val="24"/>
          <w:szCs w:val="24"/>
        </w:rPr>
      </w:pPr>
      <w:r w:rsidRPr="00627B77">
        <w:rPr>
          <w:rFonts w:ascii="Times New Roman" w:hAnsi="Times New Roman" w:cs="Times New Roman"/>
          <w:b/>
          <w:sz w:val="24"/>
          <w:szCs w:val="24"/>
        </w:rPr>
        <w:t>Operations Department</w:t>
      </w:r>
    </w:p>
    <w:p w:rsidR="00B108CD" w:rsidRPr="00627B77" w:rsidRDefault="00B108CD" w:rsidP="00627B77">
      <w:pPr>
        <w:pStyle w:val="ListParagraph"/>
        <w:spacing w:line="480" w:lineRule="auto"/>
        <w:rPr>
          <w:rFonts w:ascii="Times New Roman" w:hAnsi="Times New Roman" w:cs="Times New Roman"/>
          <w:sz w:val="24"/>
          <w:szCs w:val="24"/>
        </w:rPr>
      </w:pPr>
      <w:r w:rsidRPr="00627B77">
        <w:rPr>
          <w:rFonts w:ascii="Times New Roman" w:hAnsi="Times New Roman" w:cs="Times New Roman"/>
          <w:sz w:val="24"/>
          <w:szCs w:val="24"/>
        </w:rPr>
        <w:t xml:space="preserve">This department shall be concerned with the streamlining of all organization operations including carrying out studies on work, efficiency and improvements of the work environment for maximum results. </w:t>
      </w:r>
    </w:p>
    <w:p w:rsidR="00B108CD" w:rsidRPr="00627B77" w:rsidRDefault="00B108CD" w:rsidP="00627B77">
      <w:pPr>
        <w:pStyle w:val="ListParagraph"/>
        <w:numPr>
          <w:ilvl w:val="0"/>
          <w:numId w:val="5"/>
        </w:numPr>
        <w:spacing w:after="0" w:line="480" w:lineRule="auto"/>
        <w:rPr>
          <w:rFonts w:ascii="Times New Roman" w:hAnsi="Times New Roman" w:cs="Times New Roman"/>
          <w:b/>
          <w:sz w:val="24"/>
          <w:szCs w:val="24"/>
        </w:rPr>
      </w:pPr>
      <w:r w:rsidRPr="00627B77">
        <w:rPr>
          <w:rFonts w:ascii="Times New Roman" w:hAnsi="Times New Roman" w:cs="Times New Roman"/>
          <w:b/>
          <w:sz w:val="24"/>
          <w:szCs w:val="24"/>
        </w:rPr>
        <w:t>Information Technology and Research Department</w:t>
      </w:r>
    </w:p>
    <w:p w:rsidR="00B108CD" w:rsidRPr="00627B77" w:rsidRDefault="00B108CD" w:rsidP="00627B77">
      <w:pPr>
        <w:pStyle w:val="ListParagraph"/>
        <w:spacing w:line="480" w:lineRule="auto"/>
        <w:rPr>
          <w:rFonts w:ascii="Times New Roman" w:hAnsi="Times New Roman" w:cs="Times New Roman"/>
          <w:sz w:val="24"/>
          <w:szCs w:val="24"/>
        </w:rPr>
      </w:pPr>
      <w:r w:rsidRPr="00627B77">
        <w:rPr>
          <w:rFonts w:ascii="Times New Roman" w:hAnsi="Times New Roman" w:cs="Times New Roman"/>
          <w:sz w:val="24"/>
          <w:szCs w:val="24"/>
        </w:rPr>
        <w:t>This department shall carry out the function of research, compiling of information and liaising with the finance department to outsource ant technical work required.</w:t>
      </w:r>
    </w:p>
    <w:p w:rsidR="00B108CD" w:rsidRPr="00627B77" w:rsidRDefault="00B108CD" w:rsidP="00627B77">
      <w:pPr>
        <w:pStyle w:val="ListParagraph"/>
        <w:numPr>
          <w:ilvl w:val="0"/>
          <w:numId w:val="5"/>
        </w:numPr>
        <w:spacing w:after="200" w:line="480" w:lineRule="auto"/>
        <w:rPr>
          <w:rFonts w:ascii="Times New Roman" w:hAnsi="Times New Roman" w:cs="Times New Roman"/>
          <w:b/>
          <w:sz w:val="24"/>
          <w:szCs w:val="24"/>
        </w:rPr>
      </w:pPr>
      <w:r w:rsidRPr="00627B77">
        <w:rPr>
          <w:rFonts w:ascii="Times New Roman" w:hAnsi="Times New Roman" w:cs="Times New Roman"/>
          <w:b/>
          <w:sz w:val="24"/>
          <w:szCs w:val="24"/>
        </w:rPr>
        <w:t xml:space="preserve">Marketing and Public Relations Department </w:t>
      </w:r>
    </w:p>
    <w:p w:rsidR="00B108CD" w:rsidRPr="00627B77" w:rsidRDefault="00B108CD" w:rsidP="00627B77">
      <w:pPr>
        <w:pStyle w:val="ListParagraph"/>
        <w:spacing w:line="480" w:lineRule="auto"/>
        <w:rPr>
          <w:rFonts w:ascii="Times New Roman" w:hAnsi="Times New Roman" w:cs="Times New Roman"/>
          <w:sz w:val="24"/>
          <w:szCs w:val="24"/>
        </w:rPr>
      </w:pPr>
      <w:r w:rsidRPr="00627B77">
        <w:rPr>
          <w:rFonts w:ascii="Times New Roman" w:hAnsi="Times New Roman" w:cs="Times New Roman"/>
          <w:sz w:val="24"/>
          <w:szCs w:val="24"/>
        </w:rPr>
        <w:t xml:space="preserve">This department shall be concerned with doing market research, seeking new markets, ensuring we provide to our customers what they require and venturing new markets. They shall also deal with the marketing of the </w:t>
      </w:r>
      <w:r w:rsidR="00846D39" w:rsidRPr="00627B77">
        <w:rPr>
          <w:rFonts w:ascii="Times New Roman" w:hAnsi="Times New Roman" w:cs="Times New Roman"/>
          <w:sz w:val="24"/>
          <w:szCs w:val="24"/>
        </w:rPr>
        <w:t>project to</w:t>
      </w:r>
      <w:r w:rsidRPr="00627B77">
        <w:rPr>
          <w:rFonts w:ascii="Times New Roman" w:hAnsi="Times New Roman" w:cs="Times New Roman"/>
          <w:sz w:val="24"/>
          <w:szCs w:val="24"/>
        </w:rPr>
        <w:t xml:space="preserve"> outside parties including </w:t>
      </w:r>
      <w:r w:rsidR="00846D39" w:rsidRPr="00627B77">
        <w:rPr>
          <w:rFonts w:ascii="Times New Roman" w:hAnsi="Times New Roman" w:cs="Times New Roman"/>
          <w:sz w:val="24"/>
          <w:szCs w:val="24"/>
        </w:rPr>
        <w:t xml:space="preserve">partners, investors, donors </w:t>
      </w:r>
      <w:r w:rsidRPr="00627B77">
        <w:rPr>
          <w:rFonts w:ascii="Times New Roman" w:hAnsi="Times New Roman" w:cs="Times New Roman"/>
          <w:sz w:val="24"/>
          <w:szCs w:val="24"/>
        </w:rPr>
        <w:t>and customers.</w:t>
      </w:r>
      <w:r w:rsidR="00D6279E" w:rsidRPr="00627B77">
        <w:rPr>
          <w:rFonts w:ascii="Times New Roman" w:hAnsi="Times New Roman" w:cs="Times New Roman"/>
          <w:sz w:val="24"/>
          <w:szCs w:val="24"/>
        </w:rPr>
        <w:t xml:space="preserve"> The </w:t>
      </w:r>
      <w:r w:rsidRPr="00627B77">
        <w:rPr>
          <w:rFonts w:ascii="Times New Roman" w:hAnsi="Times New Roman" w:cs="Times New Roman"/>
          <w:sz w:val="24"/>
          <w:szCs w:val="24"/>
        </w:rPr>
        <w:t>department is responsible for opening</w:t>
      </w:r>
      <w:r w:rsidR="00D6279E" w:rsidRPr="00627B77">
        <w:rPr>
          <w:rFonts w:ascii="Times New Roman" w:hAnsi="Times New Roman" w:cs="Times New Roman"/>
          <w:sz w:val="24"/>
          <w:szCs w:val="24"/>
        </w:rPr>
        <w:t xml:space="preserve"> up the company to the public environment in order to enhance reputation, engage more partners and explore more opportunities</w:t>
      </w:r>
      <w:r w:rsidRPr="00627B77">
        <w:rPr>
          <w:rFonts w:ascii="Times New Roman" w:hAnsi="Times New Roman" w:cs="Times New Roman"/>
          <w:sz w:val="24"/>
          <w:szCs w:val="24"/>
        </w:rPr>
        <w:t>.</w:t>
      </w:r>
    </w:p>
    <w:p w:rsidR="00846D39" w:rsidRDefault="00846D39" w:rsidP="00627B77">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627B77">
        <w:rPr>
          <w:rFonts w:ascii="Times New Roman" w:eastAsia="Times New Roman" w:hAnsi="Times New Roman" w:cs="Times New Roman"/>
          <w:b/>
          <w:bCs/>
          <w:sz w:val="24"/>
          <w:szCs w:val="24"/>
        </w:rPr>
        <w:t>Financial Statements and Funding</w:t>
      </w:r>
    </w:p>
    <w:p w:rsidR="00164D39" w:rsidRDefault="00C0676C"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b/>
      </w:r>
      <w:r w:rsidR="00164D39" w:rsidRPr="00164D39">
        <w:rPr>
          <w:rFonts w:ascii="Times New Roman" w:eastAsia="Times New Roman" w:hAnsi="Times New Roman" w:cs="Times New Roman"/>
          <w:bCs/>
          <w:sz w:val="24"/>
          <w:szCs w:val="24"/>
        </w:rPr>
        <w:t xml:space="preserve">To facilitate all the activities and achieve the business goals and objectives, the project requires funding. The initial market research and feasibility studies shall be funded by the project committee. However, funding is needed to operationalize the business by acquiring the Springfield storage, vehicles, recruit employees and other equipment. </w:t>
      </w:r>
      <w:r w:rsidR="001D103A">
        <w:rPr>
          <w:rFonts w:ascii="Times New Roman" w:eastAsia="Times New Roman" w:hAnsi="Times New Roman" w:cs="Times New Roman"/>
          <w:bCs/>
          <w:sz w:val="24"/>
          <w:szCs w:val="24"/>
        </w:rPr>
        <w:t>The estimated capital requirements is as follows;</w:t>
      </w:r>
    </w:p>
    <w:tbl>
      <w:tblPr>
        <w:tblStyle w:val="TableGrid"/>
        <w:tblW w:w="0" w:type="auto"/>
        <w:tblLook w:val="04A0"/>
      </w:tblPr>
      <w:tblGrid>
        <w:gridCol w:w="4675"/>
        <w:gridCol w:w="4675"/>
      </w:tblGrid>
      <w:tr w:rsidR="001D103A" w:rsidRPr="001D103A" w:rsidTr="001D103A">
        <w:tc>
          <w:tcPr>
            <w:tcW w:w="4675" w:type="dxa"/>
          </w:tcPr>
          <w:p w:rsidR="001D103A" w:rsidRPr="001D103A" w:rsidRDefault="001D103A" w:rsidP="001D103A">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1D103A">
              <w:rPr>
                <w:rFonts w:ascii="Times New Roman" w:eastAsia="Times New Roman" w:hAnsi="Times New Roman" w:cs="Times New Roman"/>
                <w:b/>
                <w:bCs/>
                <w:sz w:val="24"/>
                <w:szCs w:val="24"/>
              </w:rPr>
              <w:t>Item</w:t>
            </w:r>
          </w:p>
        </w:tc>
        <w:tc>
          <w:tcPr>
            <w:tcW w:w="4675" w:type="dxa"/>
          </w:tcPr>
          <w:p w:rsidR="001D103A" w:rsidRPr="001D103A" w:rsidRDefault="001D103A" w:rsidP="001D103A">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1D103A">
              <w:rPr>
                <w:rFonts w:ascii="Times New Roman" w:eastAsia="Times New Roman" w:hAnsi="Times New Roman" w:cs="Times New Roman"/>
                <w:b/>
                <w:bCs/>
                <w:sz w:val="24"/>
                <w:szCs w:val="24"/>
              </w:rPr>
              <w:t>Estimated C</w:t>
            </w:r>
            <w:r>
              <w:rPr>
                <w:rFonts w:ascii="Times New Roman" w:eastAsia="Times New Roman" w:hAnsi="Times New Roman" w:cs="Times New Roman"/>
                <w:b/>
                <w:bCs/>
                <w:sz w:val="24"/>
                <w:szCs w:val="24"/>
              </w:rPr>
              <w:t>ost($)</w:t>
            </w:r>
          </w:p>
        </w:tc>
      </w:tr>
      <w:tr w:rsidR="001D103A" w:rsidTr="001D103A">
        <w:tc>
          <w:tcPr>
            <w:tcW w:w="4675" w:type="dxa"/>
          </w:tcPr>
          <w:p w:rsidR="001D103A" w:rsidRDefault="001D103A"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Leasing Springfield storage (first 3 years)</w:t>
            </w:r>
          </w:p>
        </w:tc>
        <w:tc>
          <w:tcPr>
            <w:tcW w:w="4675" w:type="dxa"/>
          </w:tcPr>
          <w:p w:rsidR="001D103A" w:rsidRDefault="001D103A"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5,000,000.00</w:t>
            </w:r>
          </w:p>
        </w:tc>
      </w:tr>
      <w:tr w:rsidR="001D103A" w:rsidTr="001D103A">
        <w:tc>
          <w:tcPr>
            <w:tcW w:w="4675" w:type="dxa"/>
          </w:tcPr>
          <w:p w:rsidR="001D103A" w:rsidRDefault="001D103A"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Transport vehicles (10 Trucks)</w:t>
            </w:r>
          </w:p>
        </w:tc>
        <w:tc>
          <w:tcPr>
            <w:tcW w:w="4675" w:type="dxa"/>
          </w:tcPr>
          <w:p w:rsidR="001D103A" w:rsidRDefault="009E0293"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1,000,000.00</w:t>
            </w:r>
          </w:p>
        </w:tc>
      </w:tr>
      <w:tr w:rsidR="001D103A" w:rsidTr="001D103A">
        <w:tc>
          <w:tcPr>
            <w:tcW w:w="4675" w:type="dxa"/>
          </w:tcPr>
          <w:p w:rsidR="001D103A" w:rsidRDefault="009E0293"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Employee Expenses (20 workers)</w:t>
            </w:r>
          </w:p>
        </w:tc>
        <w:tc>
          <w:tcPr>
            <w:tcW w:w="4675" w:type="dxa"/>
          </w:tcPr>
          <w:p w:rsidR="001D103A" w:rsidRDefault="001739DD"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r w:rsidR="009E0293">
              <w:rPr>
                <w:rFonts w:ascii="Times New Roman" w:eastAsia="Times New Roman" w:hAnsi="Times New Roman" w:cs="Times New Roman"/>
                <w:bCs/>
                <w:sz w:val="24"/>
                <w:szCs w:val="24"/>
              </w:rPr>
              <w:t>00,000.00</w:t>
            </w:r>
          </w:p>
        </w:tc>
      </w:tr>
      <w:tr w:rsidR="009E0293" w:rsidTr="001D103A">
        <w:tc>
          <w:tcPr>
            <w:tcW w:w="4675" w:type="dxa"/>
          </w:tcPr>
          <w:p w:rsidR="009E0293" w:rsidRDefault="009E0293"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Office furniture, fitting and training materials</w:t>
            </w:r>
          </w:p>
        </w:tc>
        <w:tc>
          <w:tcPr>
            <w:tcW w:w="4675" w:type="dxa"/>
          </w:tcPr>
          <w:p w:rsidR="009E0293" w:rsidRDefault="009E0293"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500,000.00</w:t>
            </w:r>
          </w:p>
        </w:tc>
      </w:tr>
      <w:tr w:rsidR="009E0293" w:rsidTr="001D103A">
        <w:tc>
          <w:tcPr>
            <w:tcW w:w="4675" w:type="dxa"/>
          </w:tcPr>
          <w:p w:rsidR="009E0293" w:rsidRDefault="009E0293"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Initial inventory </w:t>
            </w:r>
          </w:p>
        </w:tc>
        <w:tc>
          <w:tcPr>
            <w:tcW w:w="4675" w:type="dxa"/>
          </w:tcPr>
          <w:p w:rsidR="009E0293" w:rsidRDefault="009E0293"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1,000,000.00</w:t>
            </w:r>
          </w:p>
        </w:tc>
      </w:tr>
      <w:tr w:rsidR="009E0293" w:rsidTr="001D103A">
        <w:tc>
          <w:tcPr>
            <w:tcW w:w="4675" w:type="dxa"/>
          </w:tcPr>
          <w:p w:rsidR="009E0293" w:rsidRDefault="00540A26"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Marketing and </w:t>
            </w:r>
            <w:r w:rsidR="009E0293">
              <w:rPr>
                <w:rFonts w:ascii="Times New Roman" w:eastAsia="Times New Roman" w:hAnsi="Times New Roman" w:cs="Times New Roman"/>
                <w:bCs/>
                <w:sz w:val="24"/>
                <w:szCs w:val="24"/>
              </w:rPr>
              <w:t xml:space="preserve">Research </w:t>
            </w:r>
          </w:p>
        </w:tc>
        <w:tc>
          <w:tcPr>
            <w:tcW w:w="4675" w:type="dxa"/>
          </w:tcPr>
          <w:p w:rsidR="009E0293" w:rsidRDefault="00540A26"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9E0293">
              <w:rPr>
                <w:rFonts w:ascii="Times New Roman" w:eastAsia="Times New Roman" w:hAnsi="Times New Roman" w:cs="Times New Roman"/>
                <w:bCs/>
                <w:sz w:val="24"/>
                <w:szCs w:val="24"/>
              </w:rPr>
              <w:t>00,000.00</w:t>
            </w:r>
          </w:p>
        </w:tc>
      </w:tr>
      <w:tr w:rsidR="009E0293" w:rsidRPr="009E0293" w:rsidTr="001D103A">
        <w:tc>
          <w:tcPr>
            <w:tcW w:w="4675" w:type="dxa"/>
          </w:tcPr>
          <w:p w:rsidR="009E0293" w:rsidRPr="009E0293" w:rsidRDefault="009E0293" w:rsidP="00627B77">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9E0293">
              <w:rPr>
                <w:rFonts w:ascii="Times New Roman" w:eastAsia="Times New Roman" w:hAnsi="Times New Roman" w:cs="Times New Roman"/>
                <w:b/>
                <w:bCs/>
                <w:sz w:val="24"/>
                <w:szCs w:val="24"/>
              </w:rPr>
              <w:t>Total</w:t>
            </w:r>
          </w:p>
        </w:tc>
        <w:tc>
          <w:tcPr>
            <w:tcW w:w="4675" w:type="dxa"/>
          </w:tcPr>
          <w:p w:rsidR="009E0293" w:rsidRPr="009E0293" w:rsidRDefault="00540A26" w:rsidP="001739DD">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r w:rsidR="009E0293">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w:t>
            </w:r>
            <w:r w:rsidR="009E0293">
              <w:rPr>
                <w:rFonts w:ascii="Times New Roman" w:eastAsia="Times New Roman" w:hAnsi="Times New Roman" w:cs="Times New Roman"/>
                <w:b/>
                <w:bCs/>
                <w:sz w:val="24"/>
                <w:szCs w:val="24"/>
              </w:rPr>
              <w:t>00,000.00</w:t>
            </w:r>
          </w:p>
        </w:tc>
      </w:tr>
    </w:tbl>
    <w:p w:rsidR="001D103A" w:rsidRDefault="00C47187"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009E0293">
        <w:rPr>
          <w:rFonts w:ascii="Times New Roman" w:eastAsia="Times New Roman" w:hAnsi="Times New Roman" w:cs="Times New Roman"/>
          <w:bCs/>
          <w:sz w:val="24"/>
          <w:szCs w:val="24"/>
        </w:rPr>
        <w:t>The Wood Reuse Hub requires an estimated $</w:t>
      </w:r>
      <w:r w:rsidR="00540A26">
        <w:rPr>
          <w:rFonts w:ascii="Times New Roman" w:eastAsia="Times New Roman" w:hAnsi="Times New Roman" w:cs="Times New Roman"/>
          <w:bCs/>
          <w:sz w:val="24"/>
          <w:szCs w:val="24"/>
        </w:rPr>
        <w:t>11</w:t>
      </w:r>
      <w:r w:rsidR="009E0293">
        <w:rPr>
          <w:rFonts w:ascii="Times New Roman" w:eastAsia="Times New Roman" w:hAnsi="Times New Roman" w:cs="Times New Roman"/>
          <w:bCs/>
          <w:sz w:val="24"/>
          <w:szCs w:val="24"/>
        </w:rPr>
        <w:t>,</w:t>
      </w:r>
      <w:r w:rsidR="00540A26">
        <w:rPr>
          <w:rFonts w:ascii="Times New Roman" w:eastAsia="Times New Roman" w:hAnsi="Times New Roman" w:cs="Times New Roman"/>
          <w:bCs/>
          <w:sz w:val="24"/>
          <w:szCs w:val="24"/>
        </w:rPr>
        <w:t>0</w:t>
      </w:r>
      <w:r w:rsidR="009E0293">
        <w:rPr>
          <w:rFonts w:ascii="Times New Roman" w:eastAsia="Times New Roman" w:hAnsi="Times New Roman" w:cs="Times New Roman"/>
          <w:bCs/>
          <w:sz w:val="24"/>
          <w:szCs w:val="24"/>
        </w:rPr>
        <w:t>00,000.00 to kick start operation. The funds shall be mobilized through various mechanisms that include owner investment, government funding, investor funding and donations from philanthropists. The project owners intend to present the business proposal to these potential f</w:t>
      </w:r>
      <w:r w:rsidR="001739DD">
        <w:rPr>
          <w:rFonts w:ascii="Times New Roman" w:eastAsia="Times New Roman" w:hAnsi="Times New Roman" w:cs="Times New Roman"/>
          <w:bCs/>
          <w:sz w:val="24"/>
          <w:szCs w:val="24"/>
        </w:rPr>
        <w:t xml:space="preserve">unders to acquire funding. </w:t>
      </w:r>
    </w:p>
    <w:p w:rsidR="001D103A" w:rsidRDefault="00C47187" w:rsidP="00627B77">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C47187">
        <w:rPr>
          <w:rFonts w:ascii="Times New Roman" w:eastAsia="Times New Roman" w:hAnsi="Times New Roman" w:cs="Times New Roman"/>
          <w:b/>
          <w:bCs/>
          <w:sz w:val="24"/>
          <w:szCs w:val="24"/>
        </w:rPr>
        <w:t>Estimated 3-year Cash flows</w:t>
      </w:r>
    </w:p>
    <w:tbl>
      <w:tblPr>
        <w:tblStyle w:val="PlainTable1"/>
        <w:tblW w:w="9463" w:type="dxa"/>
        <w:tblLook w:val="04A0"/>
      </w:tblPr>
      <w:tblGrid>
        <w:gridCol w:w="4562"/>
        <w:gridCol w:w="1352"/>
        <w:gridCol w:w="1207"/>
        <w:gridCol w:w="1171"/>
        <w:gridCol w:w="1171"/>
      </w:tblGrid>
      <w:tr w:rsidR="00F461DF" w:rsidRPr="00F461DF" w:rsidTr="00F461DF">
        <w:trPr>
          <w:cnfStyle w:val="100000000000"/>
          <w:trHeight w:val="31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4"/>
                <w:szCs w:val="24"/>
              </w:rPr>
            </w:pPr>
            <w:r w:rsidRPr="00F461DF">
              <w:rPr>
                <w:rFonts w:ascii="Arial" w:eastAsia="Times New Roman" w:hAnsi="Arial" w:cs="Arial"/>
                <w:color w:val="000000"/>
                <w:sz w:val="24"/>
                <w:szCs w:val="24"/>
              </w:rPr>
              <w:t>Cash Flow from Operating Activities</w:t>
            </w:r>
          </w:p>
        </w:tc>
        <w:tc>
          <w:tcPr>
            <w:tcW w:w="1352" w:type="dxa"/>
            <w:noWrap/>
            <w:hideMark/>
          </w:tcPr>
          <w:p w:rsidR="00F461DF" w:rsidRPr="00F461DF" w:rsidRDefault="00F461DF" w:rsidP="00F461DF">
            <w:pPr>
              <w:spacing w:line="240" w:lineRule="auto"/>
              <w:cnfStyle w:val="100000000000"/>
              <w:rPr>
                <w:rFonts w:ascii="Arial" w:eastAsia="Times New Roman" w:hAnsi="Arial" w:cs="Arial"/>
                <w:color w:val="000000"/>
                <w:sz w:val="24"/>
                <w:szCs w:val="24"/>
              </w:rPr>
            </w:pPr>
            <w:r w:rsidRPr="00F461DF">
              <w:rPr>
                <w:rFonts w:ascii="Arial" w:eastAsia="Times New Roman" w:hAnsi="Arial" w:cs="Arial"/>
                <w:color w:val="000000"/>
                <w:sz w:val="24"/>
                <w:szCs w:val="24"/>
              </w:rPr>
              <w:t>Yr 0</w:t>
            </w:r>
          </w:p>
        </w:tc>
        <w:tc>
          <w:tcPr>
            <w:tcW w:w="1207" w:type="dxa"/>
            <w:noWrap/>
            <w:hideMark/>
          </w:tcPr>
          <w:p w:rsidR="00F461DF" w:rsidRPr="00F461DF" w:rsidRDefault="00F461DF" w:rsidP="00F461DF">
            <w:pPr>
              <w:spacing w:line="240" w:lineRule="auto"/>
              <w:cnfStyle w:val="100000000000"/>
              <w:rPr>
                <w:rFonts w:ascii="Arial" w:eastAsia="Times New Roman" w:hAnsi="Arial" w:cs="Arial"/>
                <w:color w:val="000000"/>
                <w:sz w:val="24"/>
                <w:szCs w:val="24"/>
              </w:rPr>
            </w:pPr>
            <w:r w:rsidRPr="00F461DF">
              <w:rPr>
                <w:rFonts w:ascii="Arial" w:eastAsia="Times New Roman" w:hAnsi="Arial" w:cs="Arial"/>
                <w:color w:val="000000"/>
                <w:sz w:val="24"/>
                <w:szCs w:val="24"/>
              </w:rPr>
              <w:t>Yr 1</w:t>
            </w:r>
          </w:p>
        </w:tc>
        <w:tc>
          <w:tcPr>
            <w:tcW w:w="1171" w:type="dxa"/>
            <w:noWrap/>
            <w:hideMark/>
          </w:tcPr>
          <w:p w:rsidR="00F461DF" w:rsidRPr="00F461DF" w:rsidRDefault="00F461DF" w:rsidP="00F461DF">
            <w:pPr>
              <w:spacing w:line="240" w:lineRule="auto"/>
              <w:cnfStyle w:val="100000000000"/>
              <w:rPr>
                <w:rFonts w:ascii="Arial" w:eastAsia="Times New Roman" w:hAnsi="Arial" w:cs="Arial"/>
                <w:color w:val="000000"/>
                <w:sz w:val="24"/>
                <w:szCs w:val="24"/>
              </w:rPr>
            </w:pPr>
            <w:r w:rsidRPr="00F461DF">
              <w:rPr>
                <w:rFonts w:ascii="Arial" w:eastAsia="Times New Roman" w:hAnsi="Arial" w:cs="Arial"/>
                <w:color w:val="000000"/>
                <w:sz w:val="24"/>
                <w:szCs w:val="24"/>
              </w:rPr>
              <w:t>Yr 2</w:t>
            </w:r>
          </w:p>
        </w:tc>
        <w:tc>
          <w:tcPr>
            <w:tcW w:w="1171" w:type="dxa"/>
            <w:noWrap/>
            <w:hideMark/>
          </w:tcPr>
          <w:p w:rsidR="00F461DF" w:rsidRPr="00F461DF" w:rsidRDefault="00F461DF" w:rsidP="00F461DF">
            <w:pPr>
              <w:spacing w:line="240" w:lineRule="auto"/>
              <w:cnfStyle w:val="100000000000"/>
              <w:rPr>
                <w:rFonts w:ascii="Arial" w:eastAsia="Times New Roman" w:hAnsi="Arial" w:cs="Arial"/>
                <w:color w:val="000000"/>
                <w:sz w:val="24"/>
                <w:szCs w:val="24"/>
              </w:rPr>
            </w:pPr>
            <w:r w:rsidRPr="00F461DF">
              <w:rPr>
                <w:rFonts w:ascii="Arial" w:eastAsia="Times New Roman" w:hAnsi="Arial" w:cs="Arial"/>
                <w:color w:val="000000"/>
                <w:sz w:val="24"/>
                <w:szCs w:val="24"/>
              </w:rPr>
              <w:t>Yr 3</w:t>
            </w:r>
          </w:p>
        </w:tc>
      </w:tr>
      <w:tr w:rsidR="00F461DF" w:rsidRPr="00F461DF" w:rsidTr="00F461DF">
        <w:trPr>
          <w:cnfStyle w:val="000000100000"/>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Net Income</w:t>
            </w:r>
          </w:p>
        </w:tc>
        <w:tc>
          <w:tcPr>
            <w:tcW w:w="1352"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p>
        </w:tc>
        <w:tc>
          <w:tcPr>
            <w:tcW w:w="1207"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364,000 </w:t>
            </w:r>
          </w:p>
        </w:tc>
        <w:tc>
          <w:tcPr>
            <w:tcW w:w="1171"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665,600 </w:t>
            </w:r>
          </w:p>
        </w:tc>
        <w:tc>
          <w:tcPr>
            <w:tcW w:w="1171"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736,476 </w:t>
            </w:r>
          </w:p>
        </w:tc>
      </w:tr>
      <w:tr w:rsidR="00F461DF" w:rsidRPr="00F461DF" w:rsidTr="00F461DF">
        <w:trPr>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Depreciation (20% MV and Equipment)</w:t>
            </w:r>
          </w:p>
        </w:tc>
        <w:tc>
          <w:tcPr>
            <w:tcW w:w="1352"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p>
        </w:tc>
        <w:tc>
          <w:tcPr>
            <w:tcW w:w="1207"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(300,000)</w:t>
            </w:r>
          </w:p>
        </w:tc>
        <w:tc>
          <w:tcPr>
            <w:tcW w:w="1171"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(300,000)</w:t>
            </w:r>
          </w:p>
        </w:tc>
        <w:tc>
          <w:tcPr>
            <w:tcW w:w="1171"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(300,000)</w:t>
            </w:r>
          </w:p>
        </w:tc>
      </w:tr>
      <w:tr w:rsidR="00F461DF" w:rsidRPr="00F461DF" w:rsidTr="00F461DF">
        <w:trPr>
          <w:cnfStyle w:val="000000100000"/>
          <w:trHeight w:val="255"/>
        </w:trPr>
        <w:tc>
          <w:tcPr>
            <w:cnfStyle w:val="001000000000"/>
            <w:tcW w:w="4562" w:type="dxa"/>
            <w:noWrap/>
            <w:hideMark/>
          </w:tcPr>
          <w:p w:rsidR="00F461DF" w:rsidRPr="00F461DF" w:rsidRDefault="00B74BC3"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Change</w:t>
            </w:r>
            <w:r w:rsidR="00F461DF" w:rsidRPr="00F461DF">
              <w:rPr>
                <w:rFonts w:ascii="Arial" w:eastAsia="Times New Roman" w:hAnsi="Arial" w:cs="Arial"/>
                <w:color w:val="000000"/>
                <w:sz w:val="20"/>
                <w:szCs w:val="20"/>
              </w:rPr>
              <w:t xml:space="preserve"> in Inventory (Savage wood)</w:t>
            </w:r>
          </w:p>
        </w:tc>
        <w:tc>
          <w:tcPr>
            <w:tcW w:w="1352"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(1,000,000)</w:t>
            </w:r>
          </w:p>
        </w:tc>
        <w:tc>
          <w:tcPr>
            <w:tcW w:w="1207"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p>
        </w:tc>
        <w:tc>
          <w:tcPr>
            <w:tcW w:w="1171"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r>
      <w:tr w:rsidR="00F461DF" w:rsidRPr="00F461DF" w:rsidTr="00F461DF">
        <w:trPr>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lastRenderedPageBreak/>
              <w:t>Cash provided/(Used) by operating activities</w:t>
            </w:r>
          </w:p>
        </w:tc>
        <w:tc>
          <w:tcPr>
            <w:tcW w:w="1352" w:type="dxa"/>
            <w:noWrap/>
            <w:hideMark/>
          </w:tcPr>
          <w:p w:rsidR="00F461DF" w:rsidRPr="00F461DF" w:rsidRDefault="00F461DF" w:rsidP="00F461DF">
            <w:pPr>
              <w:spacing w:line="240" w:lineRule="auto"/>
              <w:cnfStyle w:val="0000000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(1,000,000)</w:t>
            </w:r>
          </w:p>
        </w:tc>
        <w:tc>
          <w:tcPr>
            <w:tcW w:w="1207" w:type="dxa"/>
            <w:noWrap/>
            <w:hideMark/>
          </w:tcPr>
          <w:p w:rsidR="00F461DF" w:rsidRPr="00F461DF" w:rsidRDefault="00F461DF" w:rsidP="00F461DF">
            <w:pPr>
              <w:spacing w:line="240" w:lineRule="auto"/>
              <w:cnfStyle w:val="0000000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64,000 </w:t>
            </w:r>
          </w:p>
        </w:tc>
        <w:tc>
          <w:tcPr>
            <w:tcW w:w="1171" w:type="dxa"/>
            <w:noWrap/>
            <w:hideMark/>
          </w:tcPr>
          <w:p w:rsidR="00F461DF" w:rsidRPr="00F461DF" w:rsidRDefault="00F461DF" w:rsidP="00F461DF">
            <w:pPr>
              <w:spacing w:line="240" w:lineRule="auto"/>
              <w:cnfStyle w:val="0000000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365,600 </w:t>
            </w:r>
          </w:p>
        </w:tc>
        <w:tc>
          <w:tcPr>
            <w:tcW w:w="1171" w:type="dxa"/>
            <w:noWrap/>
            <w:hideMark/>
          </w:tcPr>
          <w:p w:rsidR="00F461DF" w:rsidRPr="00F461DF" w:rsidRDefault="00F461DF" w:rsidP="00F461DF">
            <w:pPr>
              <w:spacing w:line="240" w:lineRule="auto"/>
              <w:cnfStyle w:val="0000000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436,476 </w:t>
            </w:r>
          </w:p>
        </w:tc>
      </w:tr>
      <w:tr w:rsidR="00F461DF" w:rsidRPr="00F461DF" w:rsidTr="00F461DF">
        <w:trPr>
          <w:cnfStyle w:val="000000100000"/>
          <w:trHeight w:val="31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4"/>
                <w:szCs w:val="24"/>
              </w:rPr>
            </w:pPr>
            <w:r w:rsidRPr="00F461DF">
              <w:rPr>
                <w:rFonts w:ascii="Arial" w:eastAsia="Times New Roman" w:hAnsi="Arial" w:cs="Arial"/>
                <w:color w:val="000000"/>
                <w:sz w:val="24"/>
                <w:szCs w:val="24"/>
              </w:rPr>
              <w:t>Cash Flow from Investing Activities</w:t>
            </w:r>
          </w:p>
        </w:tc>
        <w:tc>
          <w:tcPr>
            <w:tcW w:w="1352" w:type="dxa"/>
            <w:noWrap/>
            <w:hideMark/>
          </w:tcPr>
          <w:p w:rsidR="00F461DF" w:rsidRPr="00F461DF" w:rsidRDefault="00F461DF" w:rsidP="00F461DF">
            <w:pPr>
              <w:spacing w:line="240" w:lineRule="auto"/>
              <w:cnfStyle w:val="000000100000"/>
              <w:rPr>
                <w:rFonts w:ascii="Arial" w:eastAsia="Times New Roman" w:hAnsi="Arial" w:cs="Arial"/>
                <w:b/>
                <w:bCs/>
                <w:color w:val="000000"/>
                <w:sz w:val="24"/>
                <w:szCs w:val="24"/>
              </w:rPr>
            </w:pPr>
          </w:p>
        </w:tc>
        <w:tc>
          <w:tcPr>
            <w:tcW w:w="1207"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r>
      <w:tr w:rsidR="00F461DF" w:rsidRPr="00F461DF" w:rsidTr="00F461DF">
        <w:trPr>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Lease of Land</w:t>
            </w:r>
          </w:p>
        </w:tc>
        <w:tc>
          <w:tcPr>
            <w:tcW w:w="1352"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(5,000,000)</w:t>
            </w:r>
          </w:p>
        </w:tc>
        <w:tc>
          <w:tcPr>
            <w:tcW w:w="1207"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r>
      <w:tr w:rsidR="00F461DF" w:rsidRPr="00F461DF" w:rsidTr="00F461DF">
        <w:trPr>
          <w:cnfStyle w:val="000000100000"/>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Purchase of Motor Vehicle</w:t>
            </w:r>
          </w:p>
        </w:tc>
        <w:tc>
          <w:tcPr>
            <w:tcW w:w="1352"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(1,000,000)</w:t>
            </w:r>
          </w:p>
        </w:tc>
        <w:tc>
          <w:tcPr>
            <w:tcW w:w="1207"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p>
        </w:tc>
        <w:tc>
          <w:tcPr>
            <w:tcW w:w="1171"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r>
      <w:tr w:rsidR="00F461DF" w:rsidRPr="00F461DF" w:rsidTr="00F461DF">
        <w:trPr>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Purchase of Equipment </w:t>
            </w:r>
          </w:p>
        </w:tc>
        <w:tc>
          <w:tcPr>
            <w:tcW w:w="1352"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(500,000)</w:t>
            </w:r>
          </w:p>
        </w:tc>
        <w:tc>
          <w:tcPr>
            <w:tcW w:w="1207"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r>
      <w:tr w:rsidR="00F461DF" w:rsidRPr="00F461DF" w:rsidTr="00F461DF">
        <w:trPr>
          <w:cnfStyle w:val="000000100000"/>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Cash used by investing activities</w:t>
            </w:r>
          </w:p>
        </w:tc>
        <w:tc>
          <w:tcPr>
            <w:tcW w:w="1352"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(6,500,000)</w:t>
            </w:r>
          </w:p>
        </w:tc>
        <w:tc>
          <w:tcPr>
            <w:tcW w:w="1207"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   </w:t>
            </w:r>
          </w:p>
        </w:tc>
        <w:tc>
          <w:tcPr>
            <w:tcW w:w="1171"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   </w:t>
            </w:r>
          </w:p>
        </w:tc>
        <w:tc>
          <w:tcPr>
            <w:tcW w:w="1171"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   </w:t>
            </w:r>
          </w:p>
        </w:tc>
      </w:tr>
      <w:tr w:rsidR="00F461DF" w:rsidRPr="00F461DF" w:rsidTr="00F461DF">
        <w:trPr>
          <w:trHeight w:val="31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4"/>
                <w:szCs w:val="24"/>
              </w:rPr>
            </w:pPr>
            <w:r w:rsidRPr="00F461DF">
              <w:rPr>
                <w:rFonts w:ascii="Arial" w:eastAsia="Times New Roman" w:hAnsi="Arial" w:cs="Arial"/>
                <w:color w:val="000000"/>
                <w:sz w:val="24"/>
                <w:szCs w:val="24"/>
              </w:rPr>
              <w:t>Cash Flow from Financing Activities</w:t>
            </w:r>
          </w:p>
        </w:tc>
        <w:tc>
          <w:tcPr>
            <w:tcW w:w="1352" w:type="dxa"/>
            <w:noWrap/>
            <w:hideMark/>
          </w:tcPr>
          <w:p w:rsidR="00F461DF" w:rsidRPr="00F461DF" w:rsidRDefault="00F461DF" w:rsidP="00F461DF">
            <w:pPr>
              <w:spacing w:line="240" w:lineRule="auto"/>
              <w:cnfStyle w:val="000000000000"/>
              <w:rPr>
                <w:rFonts w:ascii="Arial" w:eastAsia="Times New Roman" w:hAnsi="Arial" w:cs="Arial"/>
                <w:b/>
                <w:bCs/>
                <w:color w:val="000000"/>
                <w:sz w:val="24"/>
                <w:szCs w:val="24"/>
              </w:rPr>
            </w:pPr>
          </w:p>
        </w:tc>
        <w:tc>
          <w:tcPr>
            <w:tcW w:w="1207"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r>
      <w:tr w:rsidR="00F461DF" w:rsidRPr="00F461DF" w:rsidTr="00F461DF">
        <w:trPr>
          <w:cnfStyle w:val="000000100000"/>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Loan Payable</w:t>
            </w:r>
          </w:p>
        </w:tc>
        <w:tc>
          <w:tcPr>
            <w:tcW w:w="1352"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p>
        </w:tc>
        <w:tc>
          <w:tcPr>
            <w:tcW w:w="1207"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2,000,000 </w:t>
            </w:r>
          </w:p>
        </w:tc>
        <w:tc>
          <w:tcPr>
            <w:tcW w:w="1171" w:type="dxa"/>
            <w:noWrap/>
            <w:hideMark/>
          </w:tcPr>
          <w:p w:rsidR="00F461DF" w:rsidRPr="00F461DF" w:rsidRDefault="00F461DF" w:rsidP="00F461DF">
            <w:pPr>
              <w:spacing w:line="240" w:lineRule="auto"/>
              <w:cnfStyle w:val="000000100000"/>
              <w:rPr>
                <w:rFonts w:ascii="Arial" w:eastAsia="Times New Roman" w:hAnsi="Arial" w:cs="Arial"/>
                <w:color w:val="000000"/>
                <w:sz w:val="20"/>
                <w:szCs w:val="20"/>
              </w:rPr>
            </w:pPr>
          </w:p>
        </w:tc>
        <w:tc>
          <w:tcPr>
            <w:tcW w:w="1171" w:type="dxa"/>
            <w:noWrap/>
            <w:hideMark/>
          </w:tcPr>
          <w:p w:rsidR="00F461DF" w:rsidRPr="00F461DF" w:rsidRDefault="00F461DF" w:rsidP="00F461DF">
            <w:pPr>
              <w:spacing w:line="240" w:lineRule="auto"/>
              <w:cnfStyle w:val="000000100000"/>
              <w:rPr>
                <w:rFonts w:ascii="Times New Roman" w:eastAsia="Times New Roman" w:hAnsi="Times New Roman" w:cs="Times New Roman"/>
                <w:sz w:val="20"/>
                <w:szCs w:val="20"/>
              </w:rPr>
            </w:pPr>
          </w:p>
        </w:tc>
      </w:tr>
      <w:tr w:rsidR="00F461DF" w:rsidRPr="00F461DF" w:rsidTr="00F461DF">
        <w:trPr>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Cash used in financing activities </w:t>
            </w:r>
          </w:p>
        </w:tc>
        <w:tc>
          <w:tcPr>
            <w:tcW w:w="1352" w:type="dxa"/>
            <w:noWrap/>
            <w:hideMark/>
          </w:tcPr>
          <w:p w:rsidR="00F461DF" w:rsidRPr="00F461DF" w:rsidRDefault="00F461DF" w:rsidP="00F461DF">
            <w:pPr>
              <w:spacing w:line="240" w:lineRule="auto"/>
              <w:cnfStyle w:val="0000000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   </w:t>
            </w:r>
          </w:p>
        </w:tc>
        <w:tc>
          <w:tcPr>
            <w:tcW w:w="1207"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r w:rsidRPr="00F461DF">
              <w:rPr>
                <w:rFonts w:ascii="Arial" w:eastAsia="Times New Roman" w:hAnsi="Arial" w:cs="Arial"/>
                <w:color w:val="000000"/>
                <w:sz w:val="20"/>
                <w:szCs w:val="20"/>
              </w:rPr>
              <w:t xml:space="preserve"> 2,000,000 </w:t>
            </w:r>
          </w:p>
        </w:tc>
        <w:tc>
          <w:tcPr>
            <w:tcW w:w="1171" w:type="dxa"/>
            <w:noWrap/>
            <w:hideMark/>
          </w:tcPr>
          <w:p w:rsidR="00F461DF" w:rsidRPr="00F461DF" w:rsidRDefault="00F461DF" w:rsidP="00F461DF">
            <w:pPr>
              <w:spacing w:line="240" w:lineRule="auto"/>
              <w:cnfStyle w:val="000000000000"/>
              <w:rPr>
                <w:rFonts w:ascii="Arial" w:eastAsia="Times New Roman" w:hAnsi="Arial" w:cs="Arial"/>
                <w:color w:val="000000"/>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r>
      <w:tr w:rsidR="00F461DF" w:rsidRPr="00F461DF" w:rsidTr="00F461DF">
        <w:trPr>
          <w:cnfStyle w:val="000000100000"/>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Increase in Cash</w:t>
            </w:r>
          </w:p>
        </w:tc>
        <w:tc>
          <w:tcPr>
            <w:tcW w:w="1352"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(7,500,000)</w:t>
            </w:r>
          </w:p>
        </w:tc>
        <w:tc>
          <w:tcPr>
            <w:tcW w:w="1207"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2,064,000 </w:t>
            </w:r>
          </w:p>
        </w:tc>
        <w:tc>
          <w:tcPr>
            <w:tcW w:w="1171"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365,600 </w:t>
            </w:r>
          </w:p>
        </w:tc>
        <w:tc>
          <w:tcPr>
            <w:tcW w:w="1171"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436,476 </w:t>
            </w:r>
          </w:p>
        </w:tc>
      </w:tr>
      <w:tr w:rsidR="00F461DF" w:rsidRPr="00F461DF" w:rsidTr="00F461DF">
        <w:trPr>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Add Cash at Beginning</w:t>
            </w:r>
          </w:p>
        </w:tc>
        <w:tc>
          <w:tcPr>
            <w:tcW w:w="1352" w:type="dxa"/>
            <w:noWrap/>
            <w:hideMark/>
          </w:tcPr>
          <w:p w:rsidR="00F461DF" w:rsidRPr="00F461DF" w:rsidRDefault="00F461DF" w:rsidP="00F461DF">
            <w:pPr>
              <w:spacing w:line="240" w:lineRule="auto"/>
              <w:jc w:val="right"/>
              <w:cnfStyle w:val="0000000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0</w:t>
            </w:r>
          </w:p>
        </w:tc>
        <w:tc>
          <w:tcPr>
            <w:tcW w:w="1207" w:type="dxa"/>
            <w:noWrap/>
            <w:hideMark/>
          </w:tcPr>
          <w:p w:rsidR="00F461DF" w:rsidRPr="00F461DF" w:rsidRDefault="00F461DF" w:rsidP="00F461DF">
            <w:pPr>
              <w:spacing w:line="240" w:lineRule="auto"/>
              <w:jc w:val="right"/>
              <w:cnfStyle w:val="0000000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22000</w:t>
            </w:r>
          </w:p>
        </w:tc>
        <w:tc>
          <w:tcPr>
            <w:tcW w:w="1171" w:type="dxa"/>
            <w:noWrap/>
            <w:hideMark/>
          </w:tcPr>
          <w:p w:rsidR="00F461DF" w:rsidRPr="00F461DF" w:rsidRDefault="00F461DF" w:rsidP="00F461DF">
            <w:pPr>
              <w:spacing w:line="240" w:lineRule="auto"/>
              <w:jc w:val="right"/>
              <w:cnfStyle w:val="000000000000"/>
              <w:rPr>
                <w:rFonts w:ascii="Arial" w:eastAsia="Times New Roman" w:hAnsi="Arial" w:cs="Arial"/>
                <w:b/>
                <w:bCs/>
                <w:color w:val="000000"/>
                <w:sz w:val="20"/>
                <w:szCs w:val="20"/>
              </w:rPr>
            </w:pPr>
          </w:p>
        </w:tc>
        <w:tc>
          <w:tcPr>
            <w:tcW w:w="1171" w:type="dxa"/>
            <w:noWrap/>
            <w:hideMark/>
          </w:tcPr>
          <w:p w:rsidR="00F461DF" w:rsidRPr="00F461DF" w:rsidRDefault="00F461DF" w:rsidP="00F461DF">
            <w:pPr>
              <w:spacing w:line="240" w:lineRule="auto"/>
              <w:cnfStyle w:val="000000000000"/>
              <w:rPr>
                <w:rFonts w:ascii="Times New Roman" w:eastAsia="Times New Roman" w:hAnsi="Times New Roman" w:cs="Times New Roman"/>
                <w:sz w:val="20"/>
                <w:szCs w:val="20"/>
              </w:rPr>
            </w:pPr>
          </w:p>
        </w:tc>
      </w:tr>
      <w:tr w:rsidR="00F461DF" w:rsidRPr="00F461DF" w:rsidTr="00F461DF">
        <w:trPr>
          <w:cnfStyle w:val="000000100000"/>
          <w:trHeight w:val="255"/>
        </w:trPr>
        <w:tc>
          <w:tcPr>
            <w:cnfStyle w:val="001000000000"/>
            <w:tcW w:w="4562" w:type="dxa"/>
            <w:noWrap/>
            <w:hideMark/>
          </w:tcPr>
          <w:p w:rsidR="00F461DF" w:rsidRPr="00F461DF" w:rsidRDefault="00F461DF" w:rsidP="00F461DF">
            <w:pPr>
              <w:spacing w:line="240" w:lineRule="auto"/>
              <w:rPr>
                <w:rFonts w:ascii="Arial" w:eastAsia="Times New Roman" w:hAnsi="Arial" w:cs="Arial"/>
                <w:color w:val="000000"/>
                <w:sz w:val="20"/>
                <w:szCs w:val="20"/>
              </w:rPr>
            </w:pPr>
            <w:r w:rsidRPr="00F461DF">
              <w:rPr>
                <w:rFonts w:ascii="Arial" w:eastAsia="Times New Roman" w:hAnsi="Arial" w:cs="Arial"/>
                <w:color w:val="000000"/>
                <w:sz w:val="20"/>
                <w:szCs w:val="20"/>
              </w:rPr>
              <w:t>Cash as at end of year</w:t>
            </w:r>
          </w:p>
        </w:tc>
        <w:tc>
          <w:tcPr>
            <w:tcW w:w="1352"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(7,500,000)</w:t>
            </w:r>
          </w:p>
        </w:tc>
        <w:tc>
          <w:tcPr>
            <w:tcW w:w="1207"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2,086,000 </w:t>
            </w:r>
          </w:p>
        </w:tc>
        <w:tc>
          <w:tcPr>
            <w:tcW w:w="1171"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365,600 </w:t>
            </w:r>
          </w:p>
        </w:tc>
        <w:tc>
          <w:tcPr>
            <w:tcW w:w="1171" w:type="dxa"/>
            <w:noWrap/>
            <w:hideMark/>
          </w:tcPr>
          <w:p w:rsidR="00F461DF" w:rsidRPr="00F461DF" w:rsidRDefault="00F461DF" w:rsidP="00F461DF">
            <w:pPr>
              <w:spacing w:line="240" w:lineRule="auto"/>
              <w:cnfStyle w:val="000000100000"/>
              <w:rPr>
                <w:rFonts w:ascii="Arial" w:eastAsia="Times New Roman" w:hAnsi="Arial" w:cs="Arial"/>
                <w:b/>
                <w:bCs/>
                <w:color w:val="000000"/>
                <w:sz w:val="20"/>
                <w:szCs w:val="20"/>
              </w:rPr>
            </w:pPr>
            <w:r w:rsidRPr="00F461DF">
              <w:rPr>
                <w:rFonts w:ascii="Arial" w:eastAsia="Times New Roman" w:hAnsi="Arial" w:cs="Arial"/>
                <w:b/>
                <w:bCs/>
                <w:color w:val="000000"/>
                <w:sz w:val="20"/>
                <w:szCs w:val="20"/>
              </w:rPr>
              <w:t xml:space="preserve">  436,476 </w:t>
            </w:r>
          </w:p>
        </w:tc>
      </w:tr>
    </w:tbl>
    <w:p w:rsidR="00714A8E" w:rsidRDefault="00714A8E" w:rsidP="00714A8E">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C47187">
        <w:rPr>
          <w:rFonts w:ascii="Times New Roman" w:eastAsia="Times New Roman" w:hAnsi="Times New Roman" w:cs="Times New Roman"/>
          <w:b/>
          <w:bCs/>
          <w:sz w:val="24"/>
          <w:szCs w:val="24"/>
        </w:rPr>
        <w:t xml:space="preserve">Estimated 3-year </w:t>
      </w:r>
      <w:r>
        <w:rPr>
          <w:rFonts w:ascii="Times New Roman" w:eastAsia="Times New Roman" w:hAnsi="Times New Roman" w:cs="Times New Roman"/>
          <w:b/>
          <w:bCs/>
          <w:sz w:val="24"/>
          <w:szCs w:val="24"/>
        </w:rPr>
        <w:t>Income Statement Forecast</w:t>
      </w:r>
    </w:p>
    <w:tbl>
      <w:tblPr>
        <w:tblStyle w:val="PlainTable1"/>
        <w:tblW w:w="8081" w:type="dxa"/>
        <w:tblLook w:val="04A0"/>
      </w:tblPr>
      <w:tblGrid>
        <w:gridCol w:w="2839"/>
        <w:gridCol w:w="1748"/>
        <w:gridCol w:w="1748"/>
        <w:gridCol w:w="1746"/>
      </w:tblGrid>
      <w:tr w:rsidR="00697A8D" w:rsidRPr="00697A8D" w:rsidTr="00697A8D">
        <w:trPr>
          <w:cnfStyle w:val="100000000000"/>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 xml:space="preserve">YEAR </w:t>
            </w:r>
          </w:p>
        </w:tc>
        <w:tc>
          <w:tcPr>
            <w:tcW w:w="1748" w:type="dxa"/>
            <w:noWrap/>
            <w:hideMark/>
          </w:tcPr>
          <w:p w:rsidR="00697A8D" w:rsidRPr="00697A8D" w:rsidRDefault="00697A8D" w:rsidP="00697A8D">
            <w:pPr>
              <w:spacing w:line="240" w:lineRule="auto"/>
              <w:jc w:val="right"/>
              <w:cnfStyle w:val="100000000000"/>
              <w:rPr>
                <w:rFonts w:ascii="Calibri" w:eastAsia="Times New Roman" w:hAnsi="Calibri" w:cs="Times New Roman"/>
                <w:color w:val="000000"/>
              </w:rPr>
            </w:pPr>
            <w:r w:rsidRPr="00697A8D">
              <w:rPr>
                <w:rFonts w:ascii="Calibri" w:eastAsia="Times New Roman" w:hAnsi="Calibri" w:cs="Times New Roman"/>
                <w:color w:val="000000"/>
              </w:rPr>
              <w:t>1</w:t>
            </w:r>
          </w:p>
        </w:tc>
        <w:tc>
          <w:tcPr>
            <w:tcW w:w="1748" w:type="dxa"/>
            <w:noWrap/>
            <w:hideMark/>
          </w:tcPr>
          <w:p w:rsidR="00697A8D" w:rsidRPr="00697A8D" w:rsidRDefault="00697A8D" w:rsidP="00697A8D">
            <w:pPr>
              <w:spacing w:line="240" w:lineRule="auto"/>
              <w:jc w:val="right"/>
              <w:cnfStyle w:val="100000000000"/>
              <w:rPr>
                <w:rFonts w:ascii="Calibri" w:eastAsia="Times New Roman" w:hAnsi="Calibri" w:cs="Times New Roman"/>
                <w:color w:val="000000"/>
              </w:rPr>
            </w:pPr>
            <w:r w:rsidRPr="00697A8D">
              <w:rPr>
                <w:rFonts w:ascii="Calibri" w:eastAsia="Times New Roman" w:hAnsi="Calibri" w:cs="Times New Roman"/>
                <w:color w:val="000000"/>
              </w:rPr>
              <w:t>2</w:t>
            </w:r>
          </w:p>
        </w:tc>
        <w:tc>
          <w:tcPr>
            <w:tcW w:w="1746" w:type="dxa"/>
            <w:noWrap/>
            <w:hideMark/>
          </w:tcPr>
          <w:p w:rsidR="00697A8D" w:rsidRPr="00697A8D" w:rsidRDefault="00697A8D" w:rsidP="00697A8D">
            <w:pPr>
              <w:spacing w:line="240" w:lineRule="auto"/>
              <w:jc w:val="right"/>
              <w:cnfStyle w:val="100000000000"/>
              <w:rPr>
                <w:rFonts w:ascii="Calibri" w:eastAsia="Times New Roman" w:hAnsi="Calibri" w:cs="Times New Roman"/>
                <w:color w:val="000000"/>
              </w:rPr>
            </w:pPr>
            <w:r w:rsidRPr="00697A8D">
              <w:rPr>
                <w:rFonts w:ascii="Calibri" w:eastAsia="Times New Roman" w:hAnsi="Calibri" w:cs="Times New Roman"/>
                <w:color w:val="000000"/>
              </w:rPr>
              <w:t>3</w:t>
            </w:r>
          </w:p>
        </w:tc>
      </w:tr>
      <w:tr w:rsidR="00697A8D" w:rsidRPr="00697A8D" w:rsidTr="00697A8D">
        <w:trPr>
          <w:cnfStyle w:val="000000100000"/>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REVENUE</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rPr>
            </w:pPr>
          </w:p>
        </w:tc>
        <w:tc>
          <w:tcPr>
            <w:tcW w:w="1748" w:type="dxa"/>
            <w:noWrap/>
            <w:hideMark/>
          </w:tcPr>
          <w:p w:rsidR="00697A8D" w:rsidRPr="00697A8D" w:rsidRDefault="00697A8D" w:rsidP="00697A8D">
            <w:pPr>
              <w:spacing w:line="240" w:lineRule="auto"/>
              <w:cnfStyle w:val="000000100000"/>
              <w:rPr>
                <w:rFonts w:ascii="Times New Roman" w:eastAsia="Times New Roman" w:hAnsi="Times New Roman" w:cs="Times New Roman"/>
                <w:sz w:val="20"/>
                <w:szCs w:val="20"/>
              </w:rPr>
            </w:pPr>
          </w:p>
        </w:tc>
        <w:tc>
          <w:tcPr>
            <w:tcW w:w="1746" w:type="dxa"/>
            <w:noWrap/>
            <w:hideMark/>
          </w:tcPr>
          <w:p w:rsidR="00697A8D" w:rsidRPr="00697A8D" w:rsidRDefault="00697A8D" w:rsidP="00697A8D">
            <w:pPr>
              <w:spacing w:line="240" w:lineRule="auto"/>
              <w:cnfStyle w:val="000000100000"/>
              <w:rPr>
                <w:rFonts w:ascii="Times New Roman" w:eastAsia="Times New Roman" w:hAnsi="Times New Roman" w:cs="Times New Roman"/>
                <w:sz w:val="20"/>
                <w:szCs w:val="20"/>
              </w:rPr>
            </w:pPr>
          </w:p>
        </w:tc>
      </w:tr>
      <w:tr w:rsidR="00697A8D" w:rsidRPr="00697A8D" w:rsidTr="00697A8D">
        <w:trPr>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Savage wood sales</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2,000,000 </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2,600,000 </w:t>
            </w:r>
          </w:p>
        </w:tc>
        <w:tc>
          <w:tcPr>
            <w:tcW w:w="1746"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3,380,000 </w:t>
            </w:r>
          </w:p>
        </w:tc>
      </w:tr>
      <w:tr w:rsidR="00697A8D" w:rsidRPr="00697A8D" w:rsidTr="00697A8D">
        <w:trPr>
          <w:cnfStyle w:val="000000100000"/>
          <w:trHeight w:val="345"/>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Total revenue</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2,000,000 </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2,600,000 </w:t>
            </w:r>
          </w:p>
        </w:tc>
        <w:tc>
          <w:tcPr>
            <w:tcW w:w="1746"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3,380,000 </w:t>
            </w:r>
          </w:p>
        </w:tc>
      </w:tr>
      <w:tr w:rsidR="00697A8D" w:rsidRPr="00697A8D" w:rsidTr="00697A8D">
        <w:trPr>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u w:val="single"/>
              </w:rPr>
            </w:pPr>
          </w:p>
        </w:tc>
        <w:tc>
          <w:tcPr>
            <w:tcW w:w="1748" w:type="dxa"/>
            <w:noWrap/>
            <w:hideMark/>
          </w:tcPr>
          <w:p w:rsidR="00697A8D" w:rsidRPr="00697A8D" w:rsidRDefault="00697A8D" w:rsidP="00697A8D">
            <w:pPr>
              <w:spacing w:line="240" w:lineRule="auto"/>
              <w:cnfStyle w:val="000000000000"/>
              <w:rPr>
                <w:rFonts w:ascii="Times New Roman" w:eastAsia="Times New Roman" w:hAnsi="Times New Roman" w:cs="Times New Roman"/>
                <w:sz w:val="20"/>
                <w:szCs w:val="20"/>
              </w:rPr>
            </w:pPr>
          </w:p>
        </w:tc>
        <w:tc>
          <w:tcPr>
            <w:tcW w:w="1748" w:type="dxa"/>
            <w:noWrap/>
            <w:hideMark/>
          </w:tcPr>
          <w:p w:rsidR="00697A8D" w:rsidRPr="00697A8D" w:rsidRDefault="00697A8D" w:rsidP="00697A8D">
            <w:pPr>
              <w:spacing w:line="240" w:lineRule="auto"/>
              <w:cnfStyle w:val="000000000000"/>
              <w:rPr>
                <w:rFonts w:ascii="Times New Roman" w:eastAsia="Times New Roman" w:hAnsi="Times New Roman" w:cs="Times New Roman"/>
                <w:sz w:val="20"/>
                <w:szCs w:val="20"/>
              </w:rPr>
            </w:pPr>
          </w:p>
        </w:tc>
        <w:tc>
          <w:tcPr>
            <w:tcW w:w="1746" w:type="dxa"/>
            <w:noWrap/>
            <w:hideMark/>
          </w:tcPr>
          <w:p w:rsidR="00697A8D" w:rsidRPr="00697A8D" w:rsidRDefault="00697A8D" w:rsidP="00697A8D">
            <w:pPr>
              <w:spacing w:line="240" w:lineRule="auto"/>
              <w:cnfStyle w:val="000000000000"/>
              <w:rPr>
                <w:rFonts w:ascii="Times New Roman" w:eastAsia="Times New Roman" w:hAnsi="Times New Roman" w:cs="Times New Roman"/>
                <w:sz w:val="20"/>
                <w:szCs w:val="20"/>
              </w:rPr>
            </w:pPr>
          </w:p>
        </w:tc>
      </w:tr>
      <w:tr w:rsidR="00697A8D" w:rsidRPr="00697A8D" w:rsidTr="00697A8D">
        <w:trPr>
          <w:cnfStyle w:val="000000100000"/>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u w:val="single"/>
              </w:rPr>
            </w:pPr>
            <w:r w:rsidRPr="00697A8D">
              <w:rPr>
                <w:rFonts w:ascii="Calibri" w:eastAsia="Times New Roman" w:hAnsi="Calibri" w:cs="Times New Roman"/>
                <w:color w:val="000000"/>
                <w:u w:val="single"/>
              </w:rPr>
              <w:t>EXPENSES</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u w:val="single"/>
              </w:rPr>
            </w:pPr>
          </w:p>
        </w:tc>
        <w:tc>
          <w:tcPr>
            <w:tcW w:w="1748" w:type="dxa"/>
            <w:noWrap/>
            <w:hideMark/>
          </w:tcPr>
          <w:p w:rsidR="00697A8D" w:rsidRPr="00697A8D" w:rsidRDefault="00697A8D" w:rsidP="00697A8D">
            <w:pPr>
              <w:spacing w:line="240" w:lineRule="auto"/>
              <w:cnfStyle w:val="000000100000"/>
              <w:rPr>
                <w:rFonts w:ascii="Times New Roman" w:eastAsia="Times New Roman" w:hAnsi="Times New Roman" w:cs="Times New Roman"/>
                <w:sz w:val="20"/>
                <w:szCs w:val="20"/>
              </w:rPr>
            </w:pPr>
          </w:p>
        </w:tc>
        <w:tc>
          <w:tcPr>
            <w:tcW w:w="1746" w:type="dxa"/>
            <w:noWrap/>
            <w:hideMark/>
          </w:tcPr>
          <w:p w:rsidR="00697A8D" w:rsidRPr="00697A8D" w:rsidRDefault="00697A8D" w:rsidP="00697A8D">
            <w:pPr>
              <w:spacing w:line="240" w:lineRule="auto"/>
              <w:cnfStyle w:val="000000100000"/>
              <w:rPr>
                <w:rFonts w:ascii="Times New Roman" w:eastAsia="Times New Roman" w:hAnsi="Times New Roman" w:cs="Times New Roman"/>
                <w:sz w:val="20"/>
                <w:szCs w:val="20"/>
              </w:rPr>
            </w:pPr>
          </w:p>
        </w:tc>
      </w:tr>
      <w:tr w:rsidR="00697A8D" w:rsidRPr="00697A8D" w:rsidTr="00697A8D">
        <w:trPr>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Transport Expenses</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300,000 </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330,000 </w:t>
            </w:r>
          </w:p>
        </w:tc>
        <w:tc>
          <w:tcPr>
            <w:tcW w:w="1746"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363,000 </w:t>
            </w:r>
          </w:p>
        </w:tc>
      </w:tr>
      <w:tr w:rsidR="00697A8D" w:rsidRPr="00697A8D" w:rsidTr="00697A8D">
        <w:trPr>
          <w:cnfStyle w:val="000000100000"/>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 xml:space="preserve">Salaries and wages </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900,000 </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990,000 </w:t>
            </w:r>
          </w:p>
        </w:tc>
        <w:tc>
          <w:tcPr>
            <w:tcW w:w="1746"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1,089,000 </w:t>
            </w:r>
          </w:p>
        </w:tc>
      </w:tr>
      <w:tr w:rsidR="00697A8D" w:rsidRPr="00697A8D" w:rsidTr="00697A8D">
        <w:trPr>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Research and Development</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100,000 </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105,000 </w:t>
            </w:r>
          </w:p>
        </w:tc>
        <w:tc>
          <w:tcPr>
            <w:tcW w:w="1746"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110,250 </w:t>
            </w:r>
          </w:p>
        </w:tc>
      </w:tr>
      <w:tr w:rsidR="00697A8D" w:rsidRPr="00697A8D" w:rsidTr="00697A8D">
        <w:trPr>
          <w:cnfStyle w:val="000000100000"/>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 xml:space="preserve">Marketing </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80,000 </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88,000 </w:t>
            </w:r>
          </w:p>
        </w:tc>
        <w:tc>
          <w:tcPr>
            <w:tcW w:w="1746"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98,560 </w:t>
            </w:r>
          </w:p>
        </w:tc>
      </w:tr>
      <w:tr w:rsidR="00697A8D" w:rsidRPr="00697A8D" w:rsidTr="00697A8D">
        <w:trPr>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Utilities</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60,000 </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63,000 </w:t>
            </w:r>
          </w:p>
        </w:tc>
        <w:tc>
          <w:tcPr>
            <w:tcW w:w="1746" w:type="dxa"/>
            <w:noWrap/>
            <w:hideMark/>
          </w:tcPr>
          <w:p w:rsidR="00697A8D" w:rsidRPr="00697A8D" w:rsidRDefault="00697A8D" w:rsidP="00697A8D">
            <w:pPr>
              <w:spacing w:line="240" w:lineRule="auto"/>
              <w:cnfStyle w:val="000000000000"/>
              <w:rPr>
                <w:rFonts w:ascii="Calibri" w:eastAsia="Times New Roman" w:hAnsi="Calibri" w:cs="Times New Roman"/>
                <w:color w:val="000000"/>
              </w:rPr>
            </w:pPr>
            <w:r w:rsidRPr="00697A8D">
              <w:rPr>
                <w:rFonts w:ascii="Calibri" w:eastAsia="Times New Roman" w:hAnsi="Calibri" w:cs="Times New Roman"/>
                <w:color w:val="000000"/>
              </w:rPr>
              <w:t xml:space="preserve">               66,150 </w:t>
            </w:r>
          </w:p>
        </w:tc>
      </w:tr>
      <w:tr w:rsidR="00697A8D" w:rsidRPr="00697A8D" w:rsidTr="00697A8D">
        <w:trPr>
          <w:cnfStyle w:val="000000100000"/>
          <w:trHeight w:val="345"/>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Total expenses</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1,440,000 </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1,576,000 </w:t>
            </w:r>
          </w:p>
        </w:tc>
        <w:tc>
          <w:tcPr>
            <w:tcW w:w="1746" w:type="dxa"/>
            <w:noWrap/>
            <w:hideMark/>
          </w:tcPr>
          <w:p w:rsidR="00697A8D" w:rsidRPr="00697A8D" w:rsidRDefault="00697A8D" w:rsidP="00697A8D">
            <w:pPr>
              <w:spacing w:line="240" w:lineRule="auto"/>
              <w:cnfStyle w:val="0000001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1,726,960 </w:t>
            </w:r>
          </w:p>
        </w:tc>
      </w:tr>
      <w:tr w:rsidR="00697A8D" w:rsidRPr="00697A8D" w:rsidTr="00697A8D">
        <w:trPr>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EBIT</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b/>
                <w:bCs/>
                <w:color w:val="000000"/>
              </w:rPr>
            </w:pPr>
            <w:r w:rsidRPr="00697A8D">
              <w:rPr>
                <w:rFonts w:ascii="Calibri" w:eastAsia="Times New Roman" w:hAnsi="Calibri" w:cs="Times New Roman"/>
                <w:b/>
                <w:bCs/>
                <w:color w:val="000000"/>
              </w:rPr>
              <w:t xml:space="preserve">             560,000 </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b/>
                <w:bCs/>
                <w:color w:val="000000"/>
              </w:rPr>
            </w:pPr>
            <w:r w:rsidRPr="00697A8D">
              <w:rPr>
                <w:rFonts w:ascii="Calibri" w:eastAsia="Times New Roman" w:hAnsi="Calibri" w:cs="Times New Roman"/>
                <w:b/>
                <w:bCs/>
                <w:color w:val="000000"/>
              </w:rPr>
              <w:t xml:space="preserve">         1,024,000 </w:t>
            </w:r>
          </w:p>
        </w:tc>
        <w:tc>
          <w:tcPr>
            <w:tcW w:w="1746" w:type="dxa"/>
            <w:noWrap/>
            <w:hideMark/>
          </w:tcPr>
          <w:p w:rsidR="00697A8D" w:rsidRPr="00697A8D" w:rsidRDefault="00697A8D" w:rsidP="00697A8D">
            <w:pPr>
              <w:spacing w:line="240" w:lineRule="auto"/>
              <w:cnfStyle w:val="000000000000"/>
              <w:rPr>
                <w:rFonts w:ascii="Calibri" w:eastAsia="Times New Roman" w:hAnsi="Calibri" w:cs="Times New Roman"/>
                <w:b/>
                <w:bCs/>
                <w:color w:val="000000"/>
              </w:rPr>
            </w:pPr>
            <w:r w:rsidRPr="00697A8D">
              <w:rPr>
                <w:rFonts w:ascii="Calibri" w:eastAsia="Times New Roman" w:hAnsi="Calibri" w:cs="Times New Roman"/>
                <w:b/>
                <w:bCs/>
                <w:color w:val="000000"/>
              </w:rPr>
              <w:t xml:space="preserve">         1,653,040 </w:t>
            </w:r>
          </w:p>
        </w:tc>
      </w:tr>
      <w:tr w:rsidR="00697A8D" w:rsidRPr="00697A8D" w:rsidTr="00697A8D">
        <w:trPr>
          <w:cnfStyle w:val="000000100000"/>
          <w:trHeight w:val="300"/>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Tax (35%)</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196,000.00 </w:t>
            </w:r>
          </w:p>
        </w:tc>
        <w:tc>
          <w:tcPr>
            <w:tcW w:w="1748"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358,400.00 </w:t>
            </w:r>
          </w:p>
        </w:tc>
        <w:tc>
          <w:tcPr>
            <w:tcW w:w="1746" w:type="dxa"/>
            <w:noWrap/>
            <w:hideMark/>
          </w:tcPr>
          <w:p w:rsidR="00697A8D" w:rsidRPr="00697A8D" w:rsidRDefault="00697A8D" w:rsidP="00697A8D">
            <w:pPr>
              <w:spacing w:line="240" w:lineRule="auto"/>
              <w:cnfStyle w:val="000000100000"/>
              <w:rPr>
                <w:rFonts w:ascii="Calibri" w:eastAsia="Times New Roman" w:hAnsi="Calibri" w:cs="Times New Roman"/>
                <w:color w:val="000000"/>
              </w:rPr>
            </w:pPr>
            <w:r w:rsidRPr="00697A8D">
              <w:rPr>
                <w:rFonts w:ascii="Calibri" w:eastAsia="Times New Roman" w:hAnsi="Calibri" w:cs="Times New Roman"/>
                <w:color w:val="000000"/>
              </w:rPr>
              <w:t xml:space="preserve">       578,564.00 </w:t>
            </w:r>
          </w:p>
        </w:tc>
      </w:tr>
      <w:tr w:rsidR="00697A8D" w:rsidRPr="00697A8D" w:rsidTr="00697A8D">
        <w:trPr>
          <w:trHeight w:val="345"/>
        </w:trPr>
        <w:tc>
          <w:tcPr>
            <w:cnfStyle w:val="001000000000"/>
            <w:tcW w:w="2839" w:type="dxa"/>
            <w:noWrap/>
            <w:hideMark/>
          </w:tcPr>
          <w:p w:rsidR="00697A8D" w:rsidRPr="00697A8D" w:rsidRDefault="00697A8D" w:rsidP="00697A8D">
            <w:pPr>
              <w:spacing w:line="240" w:lineRule="auto"/>
              <w:rPr>
                <w:rFonts w:ascii="Calibri" w:eastAsia="Times New Roman" w:hAnsi="Calibri" w:cs="Times New Roman"/>
                <w:color w:val="000000"/>
              </w:rPr>
            </w:pPr>
            <w:r w:rsidRPr="00697A8D">
              <w:rPr>
                <w:rFonts w:ascii="Calibri" w:eastAsia="Times New Roman" w:hAnsi="Calibri" w:cs="Times New Roman"/>
                <w:color w:val="000000"/>
              </w:rPr>
              <w:t>Income After Tax</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364,000 </w:t>
            </w:r>
          </w:p>
        </w:tc>
        <w:tc>
          <w:tcPr>
            <w:tcW w:w="1748" w:type="dxa"/>
            <w:noWrap/>
            <w:hideMark/>
          </w:tcPr>
          <w:p w:rsidR="00697A8D" w:rsidRPr="00697A8D" w:rsidRDefault="00697A8D" w:rsidP="00697A8D">
            <w:pPr>
              <w:spacing w:line="240" w:lineRule="auto"/>
              <w:cnfStyle w:val="0000000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665,600 </w:t>
            </w:r>
          </w:p>
        </w:tc>
        <w:tc>
          <w:tcPr>
            <w:tcW w:w="1746" w:type="dxa"/>
            <w:noWrap/>
            <w:hideMark/>
          </w:tcPr>
          <w:p w:rsidR="00697A8D" w:rsidRPr="00697A8D" w:rsidRDefault="00697A8D" w:rsidP="00697A8D">
            <w:pPr>
              <w:spacing w:line="240" w:lineRule="auto"/>
              <w:cnfStyle w:val="000000000000"/>
              <w:rPr>
                <w:rFonts w:ascii="Calibri" w:eastAsia="Times New Roman" w:hAnsi="Calibri" w:cs="Times New Roman"/>
                <w:b/>
                <w:bCs/>
                <w:color w:val="000000"/>
                <w:u w:val="single"/>
              </w:rPr>
            </w:pPr>
            <w:r w:rsidRPr="00697A8D">
              <w:rPr>
                <w:rFonts w:ascii="Calibri" w:eastAsia="Times New Roman" w:hAnsi="Calibri" w:cs="Times New Roman"/>
                <w:b/>
                <w:bCs/>
                <w:color w:val="000000"/>
                <w:u w:val="single"/>
              </w:rPr>
              <w:t xml:space="preserve">         1,074,476 </w:t>
            </w:r>
          </w:p>
        </w:tc>
      </w:tr>
    </w:tbl>
    <w:p w:rsidR="00697A8D" w:rsidRDefault="00697A8D" w:rsidP="00714A8E">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Break Even</w:t>
      </w:r>
    </w:p>
    <w:p w:rsidR="00697A8D" w:rsidRPr="00697A8D" w:rsidRDefault="00697A8D" w:rsidP="00697A8D">
      <w:pPr>
        <w:spacing w:line="480" w:lineRule="auto"/>
        <w:ind w:firstLine="720"/>
        <w:rPr>
          <w:rFonts w:ascii="Times New Roman" w:hAnsi="Times New Roman" w:cs="Times New Roman"/>
          <w:sz w:val="24"/>
          <w:szCs w:val="24"/>
        </w:rPr>
      </w:pPr>
      <w:r w:rsidRPr="00697A8D">
        <w:rPr>
          <w:rFonts w:ascii="Times New Roman" w:hAnsi="Times New Roman" w:cs="Times New Roman"/>
          <w:sz w:val="24"/>
          <w:szCs w:val="24"/>
        </w:rPr>
        <w:t xml:space="preserve">Wood Reuse Hub’s revenue is expected to grow by 30% over the next three years. Ultimately, the business is expected to break-even by year 7. </w:t>
      </w:r>
    </w:p>
    <w:p w:rsidR="00697A8D" w:rsidRDefault="00697A8D" w:rsidP="00714A8E">
      <w:pPr>
        <w:tabs>
          <w:tab w:val="left" w:pos="1440"/>
        </w:tabs>
        <w:spacing w:before="100" w:beforeAutospacing="1" w:after="100" w:afterAutospacing="1" w:line="480" w:lineRule="auto"/>
        <w:rPr>
          <w:rFonts w:ascii="Times New Roman" w:eastAsia="Times New Roman" w:hAnsi="Times New Roman" w:cs="Times New Roman"/>
          <w:b/>
          <w:bCs/>
          <w:sz w:val="24"/>
          <w:szCs w:val="24"/>
        </w:rPr>
      </w:pPr>
      <w:r w:rsidRPr="00697A8D">
        <w:rPr>
          <w:rFonts w:ascii="Times New Roman" w:eastAsia="Times New Roman" w:hAnsi="Times New Roman" w:cs="Times New Roman"/>
          <w:b/>
          <w:bCs/>
          <w:sz w:val="24"/>
          <w:szCs w:val="24"/>
        </w:rPr>
        <w:t>Metrics</w:t>
      </w:r>
    </w:p>
    <w:p w:rsidR="00697A8D" w:rsidRPr="00697A8D" w:rsidRDefault="00697A8D" w:rsidP="00697A8D">
      <w:pPr>
        <w:spacing w:line="480" w:lineRule="auto"/>
        <w:ind w:firstLine="720"/>
        <w:rPr>
          <w:rFonts w:ascii="Times New Roman" w:hAnsi="Times New Roman" w:cs="Times New Roman"/>
          <w:sz w:val="24"/>
          <w:szCs w:val="24"/>
        </w:rPr>
      </w:pPr>
      <w:r w:rsidRPr="00697A8D">
        <w:rPr>
          <w:rFonts w:ascii="Times New Roman" w:hAnsi="Times New Roman" w:cs="Times New Roman"/>
          <w:sz w:val="24"/>
          <w:szCs w:val="24"/>
        </w:rPr>
        <w:lastRenderedPageBreak/>
        <w:t xml:space="preserve">The performance of the business will be measured using revenue growth metrics to determine the effectiveness in the wood reuse economy. Besides, the </w:t>
      </w:r>
      <w:r>
        <w:rPr>
          <w:rFonts w:ascii="Times New Roman" w:hAnsi="Times New Roman" w:cs="Times New Roman"/>
          <w:sz w:val="24"/>
          <w:szCs w:val="24"/>
        </w:rPr>
        <w:t xml:space="preserve">continuous assessment of the population getting training and involved in the wood reuse economy </w:t>
      </w:r>
      <w:r w:rsidR="00913766">
        <w:rPr>
          <w:rFonts w:ascii="Times New Roman" w:hAnsi="Times New Roman" w:cs="Times New Roman"/>
          <w:sz w:val="24"/>
          <w:szCs w:val="24"/>
        </w:rPr>
        <w:t xml:space="preserve">through </w:t>
      </w:r>
      <w:r w:rsidR="00B74BC3">
        <w:rPr>
          <w:rFonts w:ascii="Times New Roman" w:hAnsi="Times New Roman" w:cs="Times New Roman"/>
          <w:sz w:val="24"/>
          <w:szCs w:val="24"/>
        </w:rPr>
        <w:t>the</w:t>
      </w:r>
      <w:r w:rsidR="00913766">
        <w:rPr>
          <w:rFonts w:ascii="Times New Roman" w:hAnsi="Times New Roman" w:cs="Times New Roman"/>
          <w:sz w:val="24"/>
          <w:szCs w:val="24"/>
        </w:rPr>
        <w:t xml:space="preserve"> company facilitation.</w:t>
      </w:r>
    </w:p>
    <w:p w:rsidR="00697A8D" w:rsidRPr="00697A8D" w:rsidRDefault="00697A8D" w:rsidP="00714A8E">
      <w:pPr>
        <w:tabs>
          <w:tab w:val="left" w:pos="1440"/>
        </w:tabs>
        <w:spacing w:before="100" w:beforeAutospacing="1" w:after="100" w:afterAutospacing="1" w:line="480" w:lineRule="auto"/>
        <w:rPr>
          <w:rFonts w:ascii="Times New Roman" w:eastAsia="Times New Roman" w:hAnsi="Times New Roman" w:cs="Times New Roman"/>
          <w:bCs/>
          <w:sz w:val="24"/>
          <w:szCs w:val="24"/>
        </w:rPr>
      </w:pPr>
    </w:p>
    <w:p w:rsidR="00697A8D" w:rsidRDefault="00697A8D" w:rsidP="00714A8E">
      <w:pPr>
        <w:tabs>
          <w:tab w:val="left" w:pos="1440"/>
        </w:tabs>
        <w:spacing w:before="100" w:beforeAutospacing="1" w:after="100" w:afterAutospacing="1" w:line="480" w:lineRule="auto"/>
        <w:rPr>
          <w:rFonts w:ascii="Times New Roman" w:eastAsia="Times New Roman" w:hAnsi="Times New Roman" w:cs="Times New Roman"/>
          <w:b/>
          <w:bCs/>
          <w:sz w:val="24"/>
          <w:szCs w:val="24"/>
        </w:rPr>
      </w:pPr>
    </w:p>
    <w:p w:rsidR="00714A8E" w:rsidRPr="00C47187" w:rsidRDefault="00714A8E" w:rsidP="00627B77">
      <w:pPr>
        <w:tabs>
          <w:tab w:val="left" w:pos="1440"/>
        </w:tabs>
        <w:spacing w:before="100" w:beforeAutospacing="1" w:after="100" w:afterAutospacing="1" w:line="480" w:lineRule="auto"/>
        <w:rPr>
          <w:rFonts w:ascii="Times New Roman" w:eastAsia="Times New Roman" w:hAnsi="Times New Roman" w:cs="Times New Roman"/>
          <w:b/>
          <w:bCs/>
          <w:sz w:val="24"/>
          <w:szCs w:val="24"/>
        </w:rPr>
      </w:pPr>
    </w:p>
    <w:p w:rsidR="00C47187" w:rsidRPr="00164D39" w:rsidRDefault="00C47187" w:rsidP="00627B77">
      <w:pPr>
        <w:tabs>
          <w:tab w:val="left" w:pos="1440"/>
        </w:tabs>
        <w:spacing w:before="100" w:beforeAutospacing="1" w:after="100" w:afterAutospacing="1" w:line="480" w:lineRule="auto"/>
        <w:rPr>
          <w:rFonts w:ascii="Times New Roman" w:eastAsia="Times New Roman" w:hAnsi="Times New Roman" w:cs="Times New Roman"/>
          <w:bCs/>
          <w:sz w:val="24"/>
          <w:szCs w:val="24"/>
        </w:rPr>
      </w:pPr>
    </w:p>
    <w:p w:rsidR="00846D39" w:rsidRPr="00627B77" w:rsidRDefault="00846D39" w:rsidP="00627B77">
      <w:pPr>
        <w:tabs>
          <w:tab w:val="left" w:pos="1440"/>
        </w:tabs>
        <w:spacing w:before="100" w:beforeAutospacing="1" w:after="100" w:afterAutospacing="1" w:line="480" w:lineRule="auto"/>
        <w:rPr>
          <w:rFonts w:ascii="Times New Roman" w:eastAsia="Times New Roman" w:hAnsi="Times New Roman" w:cs="Times New Roman"/>
          <w:b/>
          <w:bCs/>
          <w:sz w:val="24"/>
          <w:szCs w:val="24"/>
        </w:rPr>
      </w:pPr>
    </w:p>
    <w:p w:rsidR="00B108CD" w:rsidRDefault="00B108CD"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i/>
          <w:sz w:val="24"/>
          <w:szCs w:val="24"/>
        </w:rPr>
      </w:pPr>
    </w:p>
    <w:p w:rsidR="00C40E8F" w:rsidRDefault="00C40E8F"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i/>
          <w:sz w:val="24"/>
          <w:szCs w:val="24"/>
        </w:rPr>
      </w:pPr>
    </w:p>
    <w:p w:rsidR="00C40E8F" w:rsidRDefault="00C40E8F"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i/>
          <w:sz w:val="24"/>
          <w:szCs w:val="24"/>
        </w:rPr>
      </w:pPr>
    </w:p>
    <w:p w:rsidR="00C40E8F" w:rsidRDefault="00C40E8F"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i/>
          <w:sz w:val="24"/>
          <w:szCs w:val="24"/>
        </w:rPr>
      </w:pPr>
    </w:p>
    <w:p w:rsidR="00C40E8F" w:rsidRDefault="00C40E8F"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i/>
          <w:sz w:val="24"/>
          <w:szCs w:val="24"/>
        </w:rPr>
      </w:pPr>
    </w:p>
    <w:p w:rsidR="00C40E8F" w:rsidRDefault="00C40E8F"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i/>
          <w:sz w:val="24"/>
          <w:szCs w:val="24"/>
        </w:rPr>
      </w:pPr>
    </w:p>
    <w:p w:rsidR="00C40E8F" w:rsidRPr="00627B77" w:rsidRDefault="00C40E8F" w:rsidP="00627B77">
      <w:pPr>
        <w:tabs>
          <w:tab w:val="left" w:pos="1440"/>
        </w:tabs>
        <w:spacing w:before="100" w:beforeAutospacing="1" w:after="100" w:afterAutospacing="1" w:line="480" w:lineRule="auto"/>
        <w:ind w:left="630" w:hanging="630"/>
        <w:rPr>
          <w:rFonts w:ascii="Times New Roman" w:eastAsia="Times New Roman" w:hAnsi="Times New Roman" w:cs="Times New Roman"/>
          <w:b/>
          <w:bCs/>
          <w:i/>
          <w:sz w:val="24"/>
          <w:szCs w:val="24"/>
        </w:rPr>
      </w:pPr>
    </w:p>
    <w:p w:rsidR="009925E5" w:rsidRPr="00627B77" w:rsidRDefault="009925E5" w:rsidP="00627B77">
      <w:pPr>
        <w:spacing w:line="480" w:lineRule="auto"/>
        <w:rPr>
          <w:rFonts w:ascii="Times New Roman" w:hAnsi="Times New Roman" w:cs="Times New Roman"/>
          <w:b/>
          <w:sz w:val="24"/>
          <w:szCs w:val="24"/>
        </w:rPr>
      </w:pPr>
    </w:p>
    <w:p w:rsidR="00DC6489" w:rsidRPr="00627B77" w:rsidRDefault="00DC6489" w:rsidP="00627B77">
      <w:pPr>
        <w:spacing w:line="480" w:lineRule="auto"/>
        <w:ind w:firstLine="720"/>
        <w:jc w:val="center"/>
        <w:rPr>
          <w:rFonts w:ascii="Times New Roman" w:hAnsi="Times New Roman" w:cs="Times New Roman"/>
          <w:b/>
          <w:sz w:val="24"/>
          <w:szCs w:val="24"/>
        </w:rPr>
      </w:pPr>
      <w:r w:rsidRPr="00627B77">
        <w:rPr>
          <w:rFonts w:ascii="Times New Roman" w:hAnsi="Times New Roman" w:cs="Times New Roman"/>
          <w:b/>
          <w:sz w:val="24"/>
          <w:szCs w:val="24"/>
        </w:rPr>
        <w:lastRenderedPageBreak/>
        <w:t>References</w:t>
      </w:r>
    </w:p>
    <w:p w:rsidR="002453EE" w:rsidRPr="00627B77" w:rsidRDefault="002453EE" w:rsidP="00627B77">
      <w:pPr>
        <w:spacing w:line="480" w:lineRule="auto"/>
        <w:ind w:left="720" w:hanging="720"/>
        <w:rPr>
          <w:rFonts w:ascii="Times New Roman" w:hAnsi="Times New Roman" w:cs="Times New Roman"/>
          <w:b/>
          <w:sz w:val="24"/>
          <w:szCs w:val="24"/>
        </w:rPr>
      </w:pPr>
      <w:r w:rsidRPr="00627B77">
        <w:rPr>
          <w:rFonts w:ascii="Times New Roman" w:hAnsi="Times New Roman" w:cs="Times New Roman"/>
          <w:color w:val="222222"/>
          <w:sz w:val="24"/>
          <w:szCs w:val="24"/>
          <w:shd w:val="clear" w:color="auto" w:fill="FFFFFF"/>
        </w:rPr>
        <w:t xml:space="preserve">PlaceEconomics (2021, February). Treasure in the walls: Reclaiming Value through Material Reuse in San Antonio. </w:t>
      </w:r>
    </w:p>
    <w:p w:rsidR="002453EE" w:rsidRPr="00627B77" w:rsidRDefault="002453EE" w:rsidP="00627B77">
      <w:pPr>
        <w:spacing w:line="480" w:lineRule="auto"/>
        <w:ind w:left="720" w:hanging="720"/>
        <w:rPr>
          <w:rFonts w:ascii="Times New Roman" w:hAnsi="Times New Roman" w:cs="Times New Roman"/>
          <w:color w:val="222222"/>
          <w:sz w:val="24"/>
          <w:szCs w:val="24"/>
          <w:shd w:val="clear" w:color="auto" w:fill="FFFFFF"/>
        </w:rPr>
      </w:pPr>
      <w:r w:rsidRPr="00627B77">
        <w:rPr>
          <w:rFonts w:ascii="Times New Roman" w:hAnsi="Times New Roman" w:cs="Times New Roman"/>
          <w:color w:val="222222"/>
          <w:sz w:val="24"/>
          <w:szCs w:val="24"/>
          <w:shd w:val="clear" w:color="auto" w:fill="FFFFFF"/>
        </w:rPr>
        <w:t>Ross, S. M. (2020). Re-evaluating heritage waste: Sustaining material values through deconstruction and reuse. </w:t>
      </w:r>
      <w:r w:rsidRPr="00627B77">
        <w:rPr>
          <w:rFonts w:ascii="Times New Roman" w:hAnsi="Times New Roman" w:cs="Times New Roman"/>
          <w:i/>
          <w:iCs/>
          <w:color w:val="222222"/>
          <w:sz w:val="24"/>
          <w:szCs w:val="24"/>
          <w:shd w:val="clear" w:color="auto" w:fill="FFFFFF"/>
        </w:rPr>
        <w:t>The Historic Environment: Policy &amp; Practice</w:t>
      </w:r>
      <w:r w:rsidRPr="00627B77">
        <w:rPr>
          <w:rFonts w:ascii="Times New Roman" w:hAnsi="Times New Roman" w:cs="Times New Roman"/>
          <w:color w:val="222222"/>
          <w:sz w:val="24"/>
          <w:szCs w:val="24"/>
          <w:shd w:val="clear" w:color="auto" w:fill="FFFFFF"/>
        </w:rPr>
        <w:t>, </w:t>
      </w:r>
      <w:r w:rsidRPr="00627B77">
        <w:rPr>
          <w:rFonts w:ascii="Times New Roman" w:hAnsi="Times New Roman" w:cs="Times New Roman"/>
          <w:i/>
          <w:iCs/>
          <w:color w:val="222222"/>
          <w:sz w:val="24"/>
          <w:szCs w:val="24"/>
          <w:shd w:val="clear" w:color="auto" w:fill="FFFFFF"/>
        </w:rPr>
        <w:t>11</w:t>
      </w:r>
      <w:r w:rsidRPr="00627B77">
        <w:rPr>
          <w:rFonts w:ascii="Times New Roman" w:hAnsi="Times New Roman" w:cs="Times New Roman"/>
          <w:color w:val="222222"/>
          <w:sz w:val="24"/>
          <w:szCs w:val="24"/>
          <w:shd w:val="clear" w:color="auto" w:fill="FFFFFF"/>
        </w:rPr>
        <w:t>(2-3), 382-408.</w:t>
      </w:r>
    </w:p>
    <w:sectPr w:rsidR="002453EE" w:rsidRPr="00627B77" w:rsidSect="00153279">
      <w:head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DE9" w:rsidRDefault="00335DE9" w:rsidP="001C7FCE">
      <w:pPr>
        <w:spacing w:after="0" w:line="240" w:lineRule="auto"/>
      </w:pPr>
      <w:r>
        <w:separator/>
      </w:r>
    </w:p>
  </w:endnote>
  <w:endnote w:type="continuationSeparator" w:id="1">
    <w:p w:rsidR="00335DE9" w:rsidRDefault="00335DE9" w:rsidP="001C7F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DE9" w:rsidRDefault="00335DE9" w:rsidP="001C7FCE">
      <w:pPr>
        <w:spacing w:after="0" w:line="240" w:lineRule="auto"/>
      </w:pPr>
      <w:r>
        <w:separator/>
      </w:r>
    </w:p>
  </w:footnote>
  <w:footnote w:type="continuationSeparator" w:id="1">
    <w:p w:rsidR="00335DE9" w:rsidRDefault="00335DE9" w:rsidP="001C7F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2144915"/>
      <w:docPartObj>
        <w:docPartGallery w:val="Page Numbers (Top of Page)"/>
        <w:docPartUnique/>
      </w:docPartObj>
    </w:sdtPr>
    <w:sdtEndPr>
      <w:rPr>
        <w:noProof/>
      </w:rPr>
    </w:sdtEndPr>
    <w:sdtContent>
      <w:p w:rsidR="001C7FCE" w:rsidRDefault="008C2AEF">
        <w:pPr>
          <w:pStyle w:val="Header"/>
          <w:jc w:val="right"/>
        </w:pPr>
        <w:r w:rsidRPr="002453EE">
          <w:rPr>
            <w:rFonts w:ascii="Times New Roman" w:hAnsi="Times New Roman" w:cs="Times New Roman"/>
            <w:sz w:val="24"/>
            <w:szCs w:val="24"/>
          </w:rPr>
          <w:fldChar w:fldCharType="begin"/>
        </w:r>
        <w:r w:rsidR="001C7FCE" w:rsidRPr="002453EE">
          <w:rPr>
            <w:rFonts w:ascii="Times New Roman" w:hAnsi="Times New Roman" w:cs="Times New Roman"/>
            <w:sz w:val="24"/>
            <w:szCs w:val="24"/>
          </w:rPr>
          <w:instrText xml:space="preserve"> PAGE   \* MERGEFORMAT </w:instrText>
        </w:r>
        <w:r w:rsidRPr="002453EE">
          <w:rPr>
            <w:rFonts w:ascii="Times New Roman" w:hAnsi="Times New Roman" w:cs="Times New Roman"/>
            <w:sz w:val="24"/>
            <w:szCs w:val="24"/>
          </w:rPr>
          <w:fldChar w:fldCharType="separate"/>
        </w:r>
        <w:r w:rsidR="00B74BC3">
          <w:rPr>
            <w:rFonts w:ascii="Times New Roman" w:hAnsi="Times New Roman" w:cs="Times New Roman"/>
            <w:noProof/>
            <w:sz w:val="24"/>
            <w:szCs w:val="24"/>
          </w:rPr>
          <w:t>1</w:t>
        </w:r>
        <w:r w:rsidRPr="002453EE">
          <w:rPr>
            <w:rFonts w:ascii="Times New Roman" w:hAnsi="Times New Roman" w:cs="Times New Roman"/>
            <w:noProof/>
            <w:sz w:val="24"/>
            <w:szCs w:val="24"/>
          </w:rPr>
          <w:fldChar w:fldCharType="end"/>
        </w:r>
      </w:p>
    </w:sdtContent>
  </w:sdt>
  <w:p w:rsidR="001C7FCE" w:rsidRDefault="001C7F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81CA7"/>
    <w:multiLevelType w:val="hybridMultilevel"/>
    <w:tmpl w:val="C0F2B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A593F"/>
    <w:multiLevelType w:val="hybridMultilevel"/>
    <w:tmpl w:val="D2B4E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211A9A"/>
    <w:multiLevelType w:val="hybridMultilevel"/>
    <w:tmpl w:val="53DCA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027BD7"/>
    <w:multiLevelType w:val="hybridMultilevel"/>
    <w:tmpl w:val="E3BC3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49468A"/>
    <w:multiLevelType w:val="hybridMultilevel"/>
    <w:tmpl w:val="E3BC3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521649"/>
    <w:multiLevelType w:val="hybridMultilevel"/>
    <w:tmpl w:val="17A8F2C6"/>
    <w:lvl w:ilvl="0" w:tplc="44B2EE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3206C"/>
    <w:rsid w:val="0003206C"/>
    <w:rsid w:val="000378C2"/>
    <w:rsid w:val="000E1A0B"/>
    <w:rsid w:val="00111EFE"/>
    <w:rsid w:val="00147E41"/>
    <w:rsid w:val="00153279"/>
    <w:rsid w:val="0015533E"/>
    <w:rsid w:val="00164D39"/>
    <w:rsid w:val="001739DD"/>
    <w:rsid w:val="001C7FCE"/>
    <w:rsid w:val="001D103A"/>
    <w:rsid w:val="001E2CB8"/>
    <w:rsid w:val="001E35AC"/>
    <w:rsid w:val="001E3A0C"/>
    <w:rsid w:val="001F024C"/>
    <w:rsid w:val="002048AF"/>
    <w:rsid w:val="0021319A"/>
    <w:rsid w:val="002453EE"/>
    <w:rsid w:val="002735BF"/>
    <w:rsid w:val="00294CF8"/>
    <w:rsid w:val="002F1138"/>
    <w:rsid w:val="0031696E"/>
    <w:rsid w:val="00335DE9"/>
    <w:rsid w:val="00347CCC"/>
    <w:rsid w:val="00364448"/>
    <w:rsid w:val="003956B0"/>
    <w:rsid w:val="003A6A9A"/>
    <w:rsid w:val="003E101D"/>
    <w:rsid w:val="00421787"/>
    <w:rsid w:val="0045097E"/>
    <w:rsid w:val="00456604"/>
    <w:rsid w:val="004C01B8"/>
    <w:rsid w:val="005040BD"/>
    <w:rsid w:val="00531A57"/>
    <w:rsid w:val="00540233"/>
    <w:rsid w:val="00540A26"/>
    <w:rsid w:val="00564835"/>
    <w:rsid w:val="00593880"/>
    <w:rsid w:val="00594D58"/>
    <w:rsid w:val="005A5533"/>
    <w:rsid w:val="005B6D1D"/>
    <w:rsid w:val="005F04FC"/>
    <w:rsid w:val="006040E8"/>
    <w:rsid w:val="006056BB"/>
    <w:rsid w:val="00627B77"/>
    <w:rsid w:val="00632B2B"/>
    <w:rsid w:val="00654808"/>
    <w:rsid w:val="00697A8D"/>
    <w:rsid w:val="006C1413"/>
    <w:rsid w:val="006D277A"/>
    <w:rsid w:val="006D7C2F"/>
    <w:rsid w:val="006E463C"/>
    <w:rsid w:val="00714A8E"/>
    <w:rsid w:val="007554F5"/>
    <w:rsid w:val="007E55D1"/>
    <w:rsid w:val="007F5226"/>
    <w:rsid w:val="00846D39"/>
    <w:rsid w:val="00886732"/>
    <w:rsid w:val="008B0B40"/>
    <w:rsid w:val="008C2AEF"/>
    <w:rsid w:val="008C6938"/>
    <w:rsid w:val="009134D9"/>
    <w:rsid w:val="00913766"/>
    <w:rsid w:val="00916D2B"/>
    <w:rsid w:val="009852C2"/>
    <w:rsid w:val="009925E5"/>
    <w:rsid w:val="009E0293"/>
    <w:rsid w:val="00A71967"/>
    <w:rsid w:val="00A72633"/>
    <w:rsid w:val="00A777C4"/>
    <w:rsid w:val="00AA79EF"/>
    <w:rsid w:val="00B108CD"/>
    <w:rsid w:val="00B255BF"/>
    <w:rsid w:val="00B258F9"/>
    <w:rsid w:val="00B44168"/>
    <w:rsid w:val="00B74BC3"/>
    <w:rsid w:val="00C0676C"/>
    <w:rsid w:val="00C3698A"/>
    <w:rsid w:val="00C40E8F"/>
    <w:rsid w:val="00C47187"/>
    <w:rsid w:val="00CB7E86"/>
    <w:rsid w:val="00CE5C99"/>
    <w:rsid w:val="00D37F24"/>
    <w:rsid w:val="00D6279E"/>
    <w:rsid w:val="00DC6489"/>
    <w:rsid w:val="00DE522B"/>
    <w:rsid w:val="00E27E0D"/>
    <w:rsid w:val="00E5740E"/>
    <w:rsid w:val="00E7025D"/>
    <w:rsid w:val="00EA0E5F"/>
    <w:rsid w:val="00EB08C6"/>
    <w:rsid w:val="00EC4D29"/>
    <w:rsid w:val="00ED6D08"/>
    <w:rsid w:val="00F461DF"/>
    <w:rsid w:val="00FC3074"/>
    <w:rsid w:val="00FF34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8C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7CCC"/>
    <w:rPr>
      <w:color w:val="0563C1" w:themeColor="hyperlink"/>
      <w:u w:val="single"/>
    </w:rPr>
  </w:style>
  <w:style w:type="paragraph" w:styleId="Header">
    <w:name w:val="header"/>
    <w:basedOn w:val="Normal"/>
    <w:link w:val="HeaderChar"/>
    <w:uiPriority w:val="99"/>
    <w:unhideWhenUsed/>
    <w:rsid w:val="001C7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FCE"/>
  </w:style>
  <w:style w:type="paragraph" w:styleId="Footer">
    <w:name w:val="footer"/>
    <w:basedOn w:val="Normal"/>
    <w:link w:val="FooterChar"/>
    <w:uiPriority w:val="99"/>
    <w:unhideWhenUsed/>
    <w:rsid w:val="001C7F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FCE"/>
  </w:style>
  <w:style w:type="paragraph" w:styleId="ListParagraph">
    <w:name w:val="List Paragraph"/>
    <w:basedOn w:val="Normal"/>
    <w:uiPriority w:val="34"/>
    <w:qFormat/>
    <w:rsid w:val="00594D58"/>
    <w:pPr>
      <w:spacing w:line="259" w:lineRule="auto"/>
      <w:ind w:left="720"/>
      <w:contextualSpacing/>
    </w:pPr>
  </w:style>
  <w:style w:type="paragraph" w:styleId="EndnoteText">
    <w:name w:val="endnote text"/>
    <w:basedOn w:val="Normal"/>
    <w:link w:val="EndnoteTextChar"/>
    <w:uiPriority w:val="99"/>
    <w:semiHidden/>
    <w:unhideWhenUsed/>
    <w:rsid w:val="0045660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56604"/>
    <w:rPr>
      <w:sz w:val="20"/>
      <w:szCs w:val="20"/>
    </w:rPr>
  </w:style>
  <w:style w:type="character" w:styleId="EndnoteReference">
    <w:name w:val="endnote reference"/>
    <w:basedOn w:val="DefaultParagraphFont"/>
    <w:uiPriority w:val="99"/>
    <w:semiHidden/>
    <w:unhideWhenUsed/>
    <w:rsid w:val="00456604"/>
    <w:rPr>
      <w:vertAlign w:val="superscript"/>
    </w:rPr>
  </w:style>
  <w:style w:type="table" w:styleId="TableGrid">
    <w:name w:val="Table Grid"/>
    <w:basedOn w:val="TableNormal"/>
    <w:uiPriority w:val="39"/>
    <w:rsid w:val="000E1A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1319A"/>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245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3EE"/>
    <w:rPr>
      <w:rFonts w:ascii="Tahoma" w:hAnsi="Tahoma" w:cs="Tahoma"/>
      <w:sz w:val="16"/>
      <w:szCs w:val="16"/>
    </w:rPr>
  </w:style>
  <w:style w:type="table" w:customStyle="1" w:styleId="PlainTable1">
    <w:name w:val="Plain Table 1"/>
    <w:basedOn w:val="TableNormal"/>
    <w:uiPriority w:val="41"/>
    <w:rsid w:val="00F461D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r="http://schemas.openxmlformats.org/officeDocument/2006/relationships" xmlns:w="http://schemas.openxmlformats.org/wordprocessingml/2006/main">
  <w:divs>
    <w:div w:id="74514488">
      <w:bodyDiv w:val="1"/>
      <w:marLeft w:val="0"/>
      <w:marRight w:val="0"/>
      <w:marTop w:val="0"/>
      <w:marBottom w:val="0"/>
      <w:divBdr>
        <w:top w:val="none" w:sz="0" w:space="0" w:color="auto"/>
        <w:left w:val="none" w:sz="0" w:space="0" w:color="auto"/>
        <w:bottom w:val="none" w:sz="0" w:space="0" w:color="auto"/>
        <w:right w:val="none" w:sz="0" w:space="0" w:color="auto"/>
      </w:divBdr>
    </w:div>
    <w:div w:id="600264507">
      <w:bodyDiv w:val="1"/>
      <w:marLeft w:val="0"/>
      <w:marRight w:val="0"/>
      <w:marTop w:val="0"/>
      <w:marBottom w:val="0"/>
      <w:divBdr>
        <w:top w:val="none" w:sz="0" w:space="0" w:color="auto"/>
        <w:left w:val="none" w:sz="0" w:space="0" w:color="auto"/>
        <w:bottom w:val="none" w:sz="0" w:space="0" w:color="auto"/>
        <w:right w:val="none" w:sz="0" w:space="0" w:color="auto"/>
      </w:divBdr>
    </w:div>
    <w:div w:id="706367353">
      <w:bodyDiv w:val="1"/>
      <w:marLeft w:val="0"/>
      <w:marRight w:val="0"/>
      <w:marTop w:val="0"/>
      <w:marBottom w:val="0"/>
      <w:divBdr>
        <w:top w:val="none" w:sz="0" w:space="0" w:color="auto"/>
        <w:left w:val="none" w:sz="0" w:space="0" w:color="auto"/>
        <w:bottom w:val="none" w:sz="0" w:space="0" w:color="auto"/>
        <w:right w:val="none" w:sz="0" w:space="0" w:color="auto"/>
      </w:divBdr>
    </w:div>
    <w:div w:id="712652775">
      <w:bodyDiv w:val="1"/>
      <w:marLeft w:val="0"/>
      <w:marRight w:val="0"/>
      <w:marTop w:val="0"/>
      <w:marBottom w:val="0"/>
      <w:divBdr>
        <w:top w:val="none" w:sz="0" w:space="0" w:color="auto"/>
        <w:left w:val="none" w:sz="0" w:space="0" w:color="auto"/>
        <w:bottom w:val="none" w:sz="0" w:space="0" w:color="auto"/>
        <w:right w:val="none" w:sz="0" w:space="0" w:color="auto"/>
      </w:divBdr>
    </w:div>
    <w:div w:id="946809027">
      <w:bodyDiv w:val="1"/>
      <w:marLeft w:val="0"/>
      <w:marRight w:val="0"/>
      <w:marTop w:val="0"/>
      <w:marBottom w:val="0"/>
      <w:divBdr>
        <w:top w:val="none" w:sz="0" w:space="0" w:color="auto"/>
        <w:left w:val="none" w:sz="0" w:space="0" w:color="auto"/>
        <w:bottom w:val="none" w:sz="0" w:space="0" w:color="auto"/>
        <w:right w:val="none" w:sz="0" w:space="0" w:color="auto"/>
      </w:divBdr>
    </w:div>
    <w:div w:id="1003430699">
      <w:bodyDiv w:val="1"/>
      <w:marLeft w:val="0"/>
      <w:marRight w:val="0"/>
      <w:marTop w:val="0"/>
      <w:marBottom w:val="0"/>
      <w:divBdr>
        <w:top w:val="none" w:sz="0" w:space="0" w:color="auto"/>
        <w:left w:val="none" w:sz="0" w:space="0" w:color="auto"/>
        <w:bottom w:val="none" w:sz="0" w:space="0" w:color="auto"/>
        <w:right w:val="none" w:sz="0" w:space="0" w:color="auto"/>
      </w:divBdr>
    </w:div>
    <w:div w:id="1468736992">
      <w:bodyDiv w:val="1"/>
      <w:marLeft w:val="0"/>
      <w:marRight w:val="0"/>
      <w:marTop w:val="0"/>
      <w:marBottom w:val="0"/>
      <w:divBdr>
        <w:top w:val="none" w:sz="0" w:space="0" w:color="auto"/>
        <w:left w:val="none" w:sz="0" w:space="0" w:color="auto"/>
        <w:bottom w:val="none" w:sz="0" w:space="0" w:color="auto"/>
        <w:right w:val="none" w:sz="0" w:space="0" w:color="auto"/>
      </w:divBdr>
    </w:div>
    <w:div w:id="168285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_rels/data1.xml.rels><?xml version="1.0" encoding="UTF-8" standalone="yes"?>
<Relationships xmlns="http://schemas.openxmlformats.org/package/2006/relationships"><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1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911877-B27F-49BB-897C-15C1EF40FD32}" type="doc">
      <dgm:prSet loTypeId="urn:microsoft.com/office/officeart/2005/8/layout/pictureOrgChart+Icon" loCatId="hierarchy" qsTypeId="urn:microsoft.com/office/officeart/2005/8/quickstyle/simple1" qsCatId="simple" csTypeId="urn:microsoft.com/office/officeart/2005/8/colors/accent1_2" csCatId="accent1" phldr="1"/>
      <dgm:spPr/>
      <dgm:t>
        <a:bodyPr/>
        <a:lstStyle/>
        <a:p>
          <a:endParaRPr lang="en-US"/>
        </a:p>
      </dgm:t>
    </dgm:pt>
    <dgm:pt modelId="{1B278356-2997-4300-976D-49ECA6E2B8B1}">
      <dgm:prSet phldrT="[Text]"/>
      <dgm:spPr/>
      <dgm:t>
        <a:bodyPr/>
        <a:lstStyle/>
        <a:p>
          <a:r>
            <a:rPr lang="en-US"/>
            <a:t>Board of Directors</a:t>
          </a:r>
        </a:p>
      </dgm:t>
    </dgm:pt>
    <dgm:pt modelId="{39899439-E738-44D8-A5AE-1FB52ABFD534}" type="parTrans" cxnId="{C75BA087-C0C2-4303-A648-5B95493D2306}">
      <dgm:prSet/>
      <dgm:spPr/>
      <dgm:t>
        <a:bodyPr/>
        <a:lstStyle/>
        <a:p>
          <a:endParaRPr lang="en-US"/>
        </a:p>
      </dgm:t>
    </dgm:pt>
    <dgm:pt modelId="{82EF85CA-669E-455F-B7F7-98F2E4BF2F58}" type="sibTrans" cxnId="{C75BA087-C0C2-4303-A648-5B95493D2306}">
      <dgm:prSet/>
      <dgm:spPr/>
      <dgm:t>
        <a:bodyPr/>
        <a:lstStyle/>
        <a:p>
          <a:endParaRPr lang="en-US"/>
        </a:p>
      </dgm:t>
    </dgm:pt>
    <dgm:pt modelId="{0C4D6D1E-0B08-4353-8A4E-D74AAFA8D3D0}" type="asst">
      <dgm:prSet phldrT="[Text]"/>
      <dgm:spPr/>
      <dgm:t>
        <a:bodyPr/>
        <a:lstStyle/>
        <a:p>
          <a:r>
            <a:rPr lang="en-US"/>
            <a:t>Board Secretary</a:t>
          </a:r>
        </a:p>
      </dgm:t>
    </dgm:pt>
    <dgm:pt modelId="{0A633BEF-E1FC-4009-89ED-7000BE5AD802}" type="parTrans" cxnId="{49FF99D7-304D-41CD-9996-4BE6317B72B9}">
      <dgm:prSet/>
      <dgm:spPr/>
      <dgm:t>
        <a:bodyPr/>
        <a:lstStyle/>
        <a:p>
          <a:endParaRPr lang="en-US"/>
        </a:p>
      </dgm:t>
    </dgm:pt>
    <dgm:pt modelId="{C71FEE94-0E0B-42B4-9D06-5E2ECAD34532}" type="sibTrans" cxnId="{49FF99D7-304D-41CD-9996-4BE6317B72B9}">
      <dgm:prSet/>
      <dgm:spPr/>
      <dgm:t>
        <a:bodyPr/>
        <a:lstStyle/>
        <a:p>
          <a:endParaRPr lang="en-US"/>
        </a:p>
      </dgm:t>
    </dgm:pt>
    <dgm:pt modelId="{ADC0A80F-7DCA-41CB-B17F-5849955CC2A3}">
      <dgm:prSet phldrT="[Text]"/>
      <dgm:spPr/>
      <dgm:t>
        <a:bodyPr/>
        <a:lstStyle/>
        <a:p>
          <a:r>
            <a:rPr lang="en-US"/>
            <a:t>Operations Dept.</a:t>
          </a:r>
        </a:p>
      </dgm:t>
    </dgm:pt>
    <dgm:pt modelId="{43D62EF1-AA3A-4F93-83B4-7D7D4119B1ED}" type="parTrans" cxnId="{C6CE768E-9077-446A-8AB4-DB9D90558A85}">
      <dgm:prSet/>
      <dgm:spPr/>
      <dgm:t>
        <a:bodyPr/>
        <a:lstStyle/>
        <a:p>
          <a:endParaRPr lang="en-US"/>
        </a:p>
      </dgm:t>
    </dgm:pt>
    <dgm:pt modelId="{BEE69A9E-15C4-426C-B99C-6A2979BFF802}" type="sibTrans" cxnId="{C6CE768E-9077-446A-8AB4-DB9D90558A85}">
      <dgm:prSet/>
      <dgm:spPr/>
      <dgm:t>
        <a:bodyPr/>
        <a:lstStyle/>
        <a:p>
          <a:endParaRPr lang="en-US"/>
        </a:p>
      </dgm:t>
    </dgm:pt>
    <dgm:pt modelId="{565B4E41-210D-442C-8FE9-7532B99F32EA}">
      <dgm:prSet phldrT="[Text]"/>
      <dgm:spPr/>
      <dgm:t>
        <a:bodyPr/>
        <a:lstStyle/>
        <a:p>
          <a:r>
            <a:rPr lang="en-US"/>
            <a:t>Human Resource Dept.</a:t>
          </a:r>
        </a:p>
      </dgm:t>
    </dgm:pt>
    <dgm:pt modelId="{D4DB9667-AADA-41E2-B373-27B8AE4C6C7E}" type="parTrans" cxnId="{D43850C4-F9D2-446A-8B45-43B3EE316CAB}">
      <dgm:prSet/>
      <dgm:spPr/>
      <dgm:t>
        <a:bodyPr/>
        <a:lstStyle/>
        <a:p>
          <a:endParaRPr lang="en-US"/>
        </a:p>
      </dgm:t>
    </dgm:pt>
    <dgm:pt modelId="{27616ACA-D44E-401A-B135-C66CE0A194E0}" type="sibTrans" cxnId="{D43850C4-F9D2-446A-8B45-43B3EE316CAB}">
      <dgm:prSet/>
      <dgm:spPr/>
      <dgm:t>
        <a:bodyPr/>
        <a:lstStyle/>
        <a:p>
          <a:endParaRPr lang="en-US"/>
        </a:p>
      </dgm:t>
    </dgm:pt>
    <dgm:pt modelId="{5D3F7002-CA88-4585-B71F-6305C48F267D}">
      <dgm:prSet phldrT="[Text]"/>
      <dgm:spPr/>
      <dgm:t>
        <a:bodyPr/>
        <a:lstStyle/>
        <a:p>
          <a:r>
            <a:rPr lang="en-US"/>
            <a:t>IT &amp; Research Dept.</a:t>
          </a:r>
        </a:p>
      </dgm:t>
    </dgm:pt>
    <dgm:pt modelId="{1217BDB2-8A76-44EB-B94E-D9730B17CF1A}" type="parTrans" cxnId="{C6C6345C-493F-4F89-857F-AF3EA5A2A545}">
      <dgm:prSet/>
      <dgm:spPr/>
      <dgm:t>
        <a:bodyPr/>
        <a:lstStyle/>
        <a:p>
          <a:endParaRPr lang="en-US"/>
        </a:p>
      </dgm:t>
    </dgm:pt>
    <dgm:pt modelId="{F6A77698-C431-4A39-BD6C-B5CF2FE5314C}" type="sibTrans" cxnId="{C6C6345C-493F-4F89-857F-AF3EA5A2A545}">
      <dgm:prSet/>
      <dgm:spPr/>
      <dgm:t>
        <a:bodyPr/>
        <a:lstStyle/>
        <a:p>
          <a:endParaRPr lang="en-US"/>
        </a:p>
      </dgm:t>
    </dgm:pt>
    <dgm:pt modelId="{871F919E-0F6A-4570-8DD6-2CC91BBE59F4}">
      <dgm:prSet/>
      <dgm:spPr/>
      <dgm:t>
        <a:bodyPr/>
        <a:lstStyle/>
        <a:p>
          <a:r>
            <a:rPr lang="en-US"/>
            <a:t>Marketing and Public Relations Dept. </a:t>
          </a:r>
        </a:p>
      </dgm:t>
    </dgm:pt>
    <dgm:pt modelId="{5DA0E3C4-76EA-4246-9EE4-EA7ADFF662EC}" type="parTrans" cxnId="{174ADBA6-DE4F-45A1-BEE9-4DD60F310262}">
      <dgm:prSet/>
      <dgm:spPr/>
      <dgm:t>
        <a:bodyPr/>
        <a:lstStyle/>
        <a:p>
          <a:endParaRPr lang="en-US"/>
        </a:p>
      </dgm:t>
    </dgm:pt>
    <dgm:pt modelId="{BC01BBB9-6471-435D-8848-092B38FBFE97}" type="sibTrans" cxnId="{174ADBA6-DE4F-45A1-BEE9-4DD60F310262}">
      <dgm:prSet/>
      <dgm:spPr/>
      <dgm:t>
        <a:bodyPr/>
        <a:lstStyle/>
        <a:p>
          <a:endParaRPr lang="en-US"/>
        </a:p>
      </dgm:t>
    </dgm:pt>
    <dgm:pt modelId="{BB79D2B6-52F5-4E9C-8C88-CEF296268091}" type="asst">
      <dgm:prSet/>
      <dgm:spPr/>
      <dgm:t>
        <a:bodyPr/>
        <a:lstStyle/>
        <a:p>
          <a:r>
            <a:rPr lang="en-US"/>
            <a:t>CEO</a:t>
          </a:r>
        </a:p>
      </dgm:t>
    </dgm:pt>
    <dgm:pt modelId="{7404BBD2-2D2A-4421-8965-EE59A00F5634}" type="parTrans" cxnId="{8A749F4A-445D-43C4-9C82-B1381F817D73}">
      <dgm:prSet/>
      <dgm:spPr/>
      <dgm:t>
        <a:bodyPr/>
        <a:lstStyle/>
        <a:p>
          <a:endParaRPr lang="en-US"/>
        </a:p>
      </dgm:t>
    </dgm:pt>
    <dgm:pt modelId="{6F066FE5-48F2-492D-8A52-38D70FB2951B}" type="sibTrans" cxnId="{8A749F4A-445D-43C4-9C82-B1381F817D73}">
      <dgm:prSet/>
      <dgm:spPr/>
      <dgm:t>
        <a:bodyPr/>
        <a:lstStyle/>
        <a:p>
          <a:endParaRPr lang="en-US"/>
        </a:p>
      </dgm:t>
    </dgm:pt>
    <dgm:pt modelId="{0D98307C-AF56-4105-A7EF-3549D4FC38BD}">
      <dgm:prSet/>
      <dgm:spPr/>
      <dgm:t>
        <a:bodyPr/>
        <a:lstStyle/>
        <a:p>
          <a:r>
            <a:rPr lang="en-US"/>
            <a:t>Finance Department</a:t>
          </a:r>
        </a:p>
      </dgm:t>
    </dgm:pt>
    <dgm:pt modelId="{A9CABC14-B69F-467A-85FB-C24AB382C28D}" type="parTrans" cxnId="{2BB1CC5E-0FED-449F-A645-79873B256FBA}">
      <dgm:prSet/>
      <dgm:spPr/>
      <dgm:t>
        <a:bodyPr/>
        <a:lstStyle/>
        <a:p>
          <a:endParaRPr lang="en-US"/>
        </a:p>
      </dgm:t>
    </dgm:pt>
    <dgm:pt modelId="{926E2ED8-CF0D-4B08-AB62-4A20257B1280}" type="sibTrans" cxnId="{2BB1CC5E-0FED-449F-A645-79873B256FBA}">
      <dgm:prSet/>
      <dgm:spPr/>
      <dgm:t>
        <a:bodyPr/>
        <a:lstStyle/>
        <a:p>
          <a:endParaRPr lang="en-US"/>
        </a:p>
      </dgm:t>
    </dgm:pt>
    <dgm:pt modelId="{89D191C0-5A00-495C-B4DD-93AF0F8C2249}" type="pres">
      <dgm:prSet presAssocID="{B4911877-B27F-49BB-897C-15C1EF40FD32}" presName="hierChild1" presStyleCnt="0">
        <dgm:presLayoutVars>
          <dgm:orgChart val="1"/>
          <dgm:chPref val="1"/>
          <dgm:dir/>
          <dgm:animOne val="branch"/>
          <dgm:animLvl val="lvl"/>
          <dgm:resizeHandles/>
        </dgm:presLayoutVars>
      </dgm:prSet>
      <dgm:spPr/>
      <dgm:t>
        <a:bodyPr/>
        <a:lstStyle/>
        <a:p>
          <a:endParaRPr lang="en-US"/>
        </a:p>
      </dgm:t>
    </dgm:pt>
    <dgm:pt modelId="{A11A7C6F-BFC5-4F5D-9134-030906668D22}" type="pres">
      <dgm:prSet presAssocID="{1B278356-2997-4300-976D-49ECA6E2B8B1}" presName="hierRoot1" presStyleCnt="0">
        <dgm:presLayoutVars>
          <dgm:hierBranch val="init"/>
        </dgm:presLayoutVars>
      </dgm:prSet>
      <dgm:spPr/>
    </dgm:pt>
    <dgm:pt modelId="{99F82637-3561-4A57-8D72-9B29387BFA24}" type="pres">
      <dgm:prSet presAssocID="{1B278356-2997-4300-976D-49ECA6E2B8B1}" presName="rootComposite1" presStyleCnt="0"/>
      <dgm:spPr/>
    </dgm:pt>
    <dgm:pt modelId="{F675FFC4-3DB0-46A4-ADE5-6B02122444EC}" type="pres">
      <dgm:prSet presAssocID="{1B278356-2997-4300-976D-49ECA6E2B8B1}" presName="rootText1" presStyleLbl="node0" presStyleIdx="0" presStyleCnt="1">
        <dgm:presLayoutVars>
          <dgm:chPref val="3"/>
        </dgm:presLayoutVars>
      </dgm:prSet>
      <dgm:spPr/>
      <dgm:t>
        <a:bodyPr/>
        <a:lstStyle/>
        <a:p>
          <a:endParaRPr lang="en-US"/>
        </a:p>
      </dgm:t>
    </dgm:pt>
    <dgm:pt modelId="{C23D3C81-E119-4D97-82BF-45C4D7B5BC54}" type="pres">
      <dgm:prSet presAssocID="{1B278356-2997-4300-976D-49ECA6E2B8B1}" presName="rootPict1" presStyleLbl="alignImgPlace1" presStyleIdx="0" presStyleCnt="8"/>
      <dgm:spPr>
        <a:blipFill>
          <a:blip xmlns:r="http://schemas.openxmlformats.org/officeDocument/2006/relationships" r:embed="rId1" cstate="print">
            <a:extLst>
              <a:ext uri="{28A0092B-C50C-407E-A947-70E740481C1C}">
                <a14:useLocalDpi xmlns="" xmlns:a14="http://schemas.microsoft.com/office/drawing/2010/main" val="0"/>
              </a:ext>
            </a:extLst>
          </a:blip>
          <a:srcRect/>
          <a:stretch>
            <a:fillRect t="-26000" b="-26000"/>
          </a:stretch>
        </a:blipFill>
      </dgm:spPr>
    </dgm:pt>
    <dgm:pt modelId="{9D04D828-3150-4F0E-B2E9-2C11E4F85A8B}" type="pres">
      <dgm:prSet presAssocID="{1B278356-2997-4300-976D-49ECA6E2B8B1}" presName="rootConnector1" presStyleLbl="node1" presStyleIdx="0" presStyleCnt="0"/>
      <dgm:spPr/>
      <dgm:t>
        <a:bodyPr/>
        <a:lstStyle/>
        <a:p>
          <a:endParaRPr lang="en-US"/>
        </a:p>
      </dgm:t>
    </dgm:pt>
    <dgm:pt modelId="{4E75D476-3A8E-4063-AE4A-D4F3095A80B5}" type="pres">
      <dgm:prSet presAssocID="{1B278356-2997-4300-976D-49ECA6E2B8B1}" presName="hierChild2" presStyleCnt="0"/>
      <dgm:spPr/>
    </dgm:pt>
    <dgm:pt modelId="{A2529808-DB86-4348-8180-18104148ED12}" type="pres">
      <dgm:prSet presAssocID="{43D62EF1-AA3A-4F93-83B4-7D7D4119B1ED}" presName="Name37" presStyleLbl="parChTrans1D2" presStyleIdx="0" presStyleCnt="7"/>
      <dgm:spPr/>
      <dgm:t>
        <a:bodyPr/>
        <a:lstStyle/>
        <a:p>
          <a:endParaRPr lang="en-US"/>
        </a:p>
      </dgm:t>
    </dgm:pt>
    <dgm:pt modelId="{E902ED58-45D9-4F47-BA64-5ADF7F2C375A}" type="pres">
      <dgm:prSet presAssocID="{ADC0A80F-7DCA-41CB-B17F-5849955CC2A3}" presName="hierRoot2" presStyleCnt="0">
        <dgm:presLayoutVars>
          <dgm:hierBranch val="init"/>
        </dgm:presLayoutVars>
      </dgm:prSet>
      <dgm:spPr/>
    </dgm:pt>
    <dgm:pt modelId="{DD863C45-8D05-4C5E-BCAC-D8DCFE2D6363}" type="pres">
      <dgm:prSet presAssocID="{ADC0A80F-7DCA-41CB-B17F-5849955CC2A3}" presName="rootComposite" presStyleCnt="0"/>
      <dgm:spPr/>
    </dgm:pt>
    <dgm:pt modelId="{331C7A53-00BE-449E-AB61-2B1448A8DEF4}" type="pres">
      <dgm:prSet presAssocID="{ADC0A80F-7DCA-41CB-B17F-5849955CC2A3}" presName="rootText" presStyleLbl="node2" presStyleIdx="0" presStyleCnt="5">
        <dgm:presLayoutVars>
          <dgm:chPref val="3"/>
        </dgm:presLayoutVars>
      </dgm:prSet>
      <dgm:spPr/>
      <dgm:t>
        <a:bodyPr/>
        <a:lstStyle/>
        <a:p>
          <a:endParaRPr lang="en-US"/>
        </a:p>
      </dgm:t>
    </dgm:pt>
    <dgm:pt modelId="{F7735DA4-63C1-4DA2-A4D8-2D0B5C78128D}" type="pres">
      <dgm:prSet presAssocID="{ADC0A80F-7DCA-41CB-B17F-5849955CC2A3}" presName="rootPict" presStyleLbl="alignImgPlace1" presStyleIdx="1" presStyleCnt="8"/>
      <dgm:spPr/>
    </dgm:pt>
    <dgm:pt modelId="{17092D92-4495-427C-A0CC-CF6DCA05B9CA}" type="pres">
      <dgm:prSet presAssocID="{ADC0A80F-7DCA-41CB-B17F-5849955CC2A3}" presName="rootConnector" presStyleLbl="node2" presStyleIdx="0" presStyleCnt="5"/>
      <dgm:spPr/>
      <dgm:t>
        <a:bodyPr/>
        <a:lstStyle/>
        <a:p>
          <a:endParaRPr lang="en-US"/>
        </a:p>
      </dgm:t>
    </dgm:pt>
    <dgm:pt modelId="{C48DE0D9-6755-49A5-A33B-052C8F7B1467}" type="pres">
      <dgm:prSet presAssocID="{ADC0A80F-7DCA-41CB-B17F-5849955CC2A3}" presName="hierChild4" presStyleCnt="0"/>
      <dgm:spPr/>
    </dgm:pt>
    <dgm:pt modelId="{404688A1-4354-48AC-AE9E-017828A2FCB1}" type="pres">
      <dgm:prSet presAssocID="{ADC0A80F-7DCA-41CB-B17F-5849955CC2A3}" presName="hierChild5" presStyleCnt="0"/>
      <dgm:spPr/>
    </dgm:pt>
    <dgm:pt modelId="{32361472-DA05-42A9-91CB-C970AFC57CB5}" type="pres">
      <dgm:prSet presAssocID="{D4DB9667-AADA-41E2-B373-27B8AE4C6C7E}" presName="Name37" presStyleLbl="parChTrans1D2" presStyleIdx="1" presStyleCnt="7"/>
      <dgm:spPr/>
      <dgm:t>
        <a:bodyPr/>
        <a:lstStyle/>
        <a:p>
          <a:endParaRPr lang="en-US"/>
        </a:p>
      </dgm:t>
    </dgm:pt>
    <dgm:pt modelId="{E953DA88-A187-4BED-98BF-0EA25AD84B81}" type="pres">
      <dgm:prSet presAssocID="{565B4E41-210D-442C-8FE9-7532B99F32EA}" presName="hierRoot2" presStyleCnt="0">
        <dgm:presLayoutVars>
          <dgm:hierBranch val="init"/>
        </dgm:presLayoutVars>
      </dgm:prSet>
      <dgm:spPr/>
    </dgm:pt>
    <dgm:pt modelId="{2FA4BF02-78BB-4DF9-8BAA-E3EDCBD613C7}" type="pres">
      <dgm:prSet presAssocID="{565B4E41-210D-442C-8FE9-7532B99F32EA}" presName="rootComposite" presStyleCnt="0"/>
      <dgm:spPr/>
    </dgm:pt>
    <dgm:pt modelId="{E2237220-BDFF-49F2-9550-B7D2BF8CB8EA}" type="pres">
      <dgm:prSet presAssocID="{565B4E41-210D-442C-8FE9-7532B99F32EA}" presName="rootText" presStyleLbl="node2" presStyleIdx="1" presStyleCnt="5">
        <dgm:presLayoutVars>
          <dgm:chPref val="3"/>
        </dgm:presLayoutVars>
      </dgm:prSet>
      <dgm:spPr/>
      <dgm:t>
        <a:bodyPr/>
        <a:lstStyle/>
        <a:p>
          <a:endParaRPr lang="en-US"/>
        </a:p>
      </dgm:t>
    </dgm:pt>
    <dgm:pt modelId="{DBFF5FEC-D333-4E30-AE01-DDEDCBFDB80E}" type="pres">
      <dgm:prSet presAssocID="{565B4E41-210D-442C-8FE9-7532B99F32EA}" presName="rootPict" presStyleLbl="alignImgPlace1" presStyleIdx="2" presStyleCnt="8"/>
      <dgm:spPr/>
    </dgm:pt>
    <dgm:pt modelId="{771A8440-A7F4-4AA7-B3CD-A401816F8A2B}" type="pres">
      <dgm:prSet presAssocID="{565B4E41-210D-442C-8FE9-7532B99F32EA}" presName="rootConnector" presStyleLbl="node2" presStyleIdx="1" presStyleCnt="5"/>
      <dgm:spPr/>
      <dgm:t>
        <a:bodyPr/>
        <a:lstStyle/>
        <a:p>
          <a:endParaRPr lang="en-US"/>
        </a:p>
      </dgm:t>
    </dgm:pt>
    <dgm:pt modelId="{9F2D661B-BCD5-4D21-ABEC-75D31CC5DC65}" type="pres">
      <dgm:prSet presAssocID="{565B4E41-210D-442C-8FE9-7532B99F32EA}" presName="hierChild4" presStyleCnt="0"/>
      <dgm:spPr/>
    </dgm:pt>
    <dgm:pt modelId="{B7E4CF53-F0CD-4F40-9E15-8A572FFA0395}" type="pres">
      <dgm:prSet presAssocID="{565B4E41-210D-442C-8FE9-7532B99F32EA}" presName="hierChild5" presStyleCnt="0"/>
      <dgm:spPr/>
    </dgm:pt>
    <dgm:pt modelId="{215F779A-061A-466D-AEA6-51A6B1B9F8E7}" type="pres">
      <dgm:prSet presAssocID="{5DA0E3C4-76EA-4246-9EE4-EA7ADFF662EC}" presName="Name37" presStyleLbl="parChTrans1D2" presStyleIdx="2" presStyleCnt="7"/>
      <dgm:spPr/>
      <dgm:t>
        <a:bodyPr/>
        <a:lstStyle/>
        <a:p>
          <a:endParaRPr lang="en-US"/>
        </a:p>
      </dgm:t>
    </dgm:pt>
    <dgm:pt modelId="{0F9E1AC3-4F9B-4D1A-8BB3-EF818B571951}" type="pres">
      <dgm:prSet presAssocID="{871F919E-0F6A-4570-8DD6-2CC91BBE59F4}" presName="hierRoot2" presStyleCnt="0">
        <dgm:presLayoutVars>
          <dgm:hierBranch val="init"/>
        </dgm:presLayoutVars>
      </dgm:prSet>
      <dgm:spPr/>
    </dgm:pt>
    <dgm:pt modelId="{5941FEFE-9930-4493-977E-9842DF637374}" type="pres">
      <dgm:prSet presAssocID="{871F919E-0F6A-4570-8DD6-2CC91BBE59F4}" presName="rootComposite" presStyleCnt="0"/>
      <dgm:spPr/>
    </dgm:pt>
    <dgm:pt modelId="{9458DBDF-0180-4DEA-BE92-6DBBCB8DED3E}" type="pres">
      <dgm:prSet presAssocID="{871F919E-0F6A-4570-8DD6-2CC91BBE59F4}" presName="rootText" presStyleLbl="node2" presStyleIdx="2" presStyleCnt="5">
        <dgm:presLayoutVars>
          <dgm:chPref val="3"/>
        </dgm:presLayoutVars>
      </dgm:prSet>
      <dgm:spPr/>
      <dgm:t>
        <a:bodyPr/>
        <a:lstStyle/>
        <a:p>
          <a:endParaRPr lang="en-US"/>
        </a:p>
      </dgm:t>
    </dgm:pt>
    <dgm:pt modelId="{49CA654B-2F29-4E5A-B121-196EEBE68953}" type="pres">
      <dgm:prSet presAssocID="{871F919E-0F6A-4570-8DD6-2CC91BBE59F4}" presName="rootPict" presStyleLbl="alignImgPlace1" presStyleIdx="3" presStyleCnt="8"/>
      <dgm:spPr/>
    </dgm:pt>
    <dgm:pt modelId="{912E73C3-0135-48F3-808F-5FA46784E761}" type="pres">
      <dgm:prSet presAssocID="{871F919E-0F6A-4570-8DD6-2CC91BBE59F4}" presName="rootConnector" presStyleLbl="node2" presStyleIdx="2" presStyleCnt="5"/>
      <dgm:spPr/>
      <dgm:t>
        <a:bodyPr/>
        <a:lstStyle/>
        <a:p>
          <a:endParaRPr lang="en-US"/>
        </a:p>
      </dgm:t>
    </dgm:pt>
    <dgm:pt modelId="{7654A9CD-7DBF-4D4C-AC8D-409F95E02D65}" type="pres">
      <dgm:prSet presAssocID="{871F919E-0F6A-4570-8DD6-2CC91BBE59F4}" presName="hierChild4" presStyleCnt="0"/>
      <dgm:spPr/>
    </dgm:pt>
    <dgm:pt modelId="{A214DCAC-3835-4B3C-9ECA-762A4444691F}" type="pres">
      <dgm:prSet presAssocID="{871F919E-0F6A-4570-8DD6-2CC91BBE59F4}" presName="hierChild5" presStyleCnt="0"/>
      <dgm:spPr/>
    </dgm:pt>
    <dgm:pt modelId="{0179B8FB-368C-4E8D-AD1C-F94604004521}" type="pres">
      <dgm:prSet presAssocID="{1217BDB2-8A76-44EB-B94E-D9730B17CF1A}" presName="Name37" presStyleLbl="parChTrans1D2" presStyleIdx="3" presStyleCnt="7"/>
      <dgm:spPr/>
      <dgm:t>
        <a:bodyPr/>
        <a:lstStyle/>
        <a:p>
          <a:endParaRPr lang="en-US"/>
        </a:p>
      </dgm:t>
    </dgm:pt>
    <dgm:pt modelId="{6355AE00-4920-4EDD-96E9-92801D64BD46}" type="pres">
      <dgm:prSet presAssocID="{5D3F7002-CA88-4585-B71F-6305C48F267D}" presName="hierRoot2" presStyleCnt="0">
        <dgm:presLayoutVars>
          <dgm:hierBranch val="init"/>
        </dgm:presLayoutVars>
      </dgm:prSet>
      <dgm:spPr/>
    </dgm:pt>
    <dgm:pt modelId="{A0DCAC6B-C17F-4B81-A549-AA9A9F11E612}" type="pres">
      <dgm:prSet presAssocID="{5D3F7002-CA88-4585-B71F-6305C48F267D}" presName="rootComposite" presStyleCnt="0"/>
      <dgm:spPr/>
    </dgm:pt>
    <dgm:pt modelId="{EAD38AF5-E3BD-4DF0-90AC-FA33843F94E7}" type="pres">
      <dgm:prSet presAssocID="{5D3F7002-CA88-4585-B71F-6305C48F267D}" presName="rootText" presStyleLbl="node2" presStyleIdx="3" presStyleCnt="5">
        <dgm:presLayoutVars>
          <dgm:chPref val="3"/>
        </dgm:presLayoutVars>
      </dgm:prSet>
      <dgm:spPr/>
      <dgm:t>
        <a:bodyPr/>
        <a:lstStyle/>
        <a:p>
          <a:endParaRPr lang="en-US"/>
        </a:p>
      </dgm:t>
    </dgm:pt>
    <dgm:pt modelId="{0DA3F3D4-645C-42AF-A5F2-A6703693019F}" type="pres">
      <dgm:prSet presAssocID="{5D3F7002-CA88-4585-B71F-6305C48F267D}" presName="rootPict" presStyleLbl="alignImgPlace1" presStyleIdx="4" presStyleCnt="8"/>
      <dgm:spPr/>
    </dgm:pt>
    <dgm:pt modelId="{940EAA51-F9AB-425A-ABD5-AA9B18E22AE5}" type="pres">
      <dgm:prSet presAssocID="{5D3F7002-CA88-4585-B71F-6305C48F267D}" presName="rootConnector" presStyleLbl="node2" presStyleIdx="3" presStyleCnt="5"/>
      <dgm:spPr/>
      <dgm:t>
        <a:bodyPr/>
        <a:lstStyle/>
        <a:p>
          <a:endParaRPr lang="en-US"/>
        </a:p>
      </dgm:t>
    </dgm:pt>
    <dgm:pt modelId="{CA9FBDFD-7C14-4411-8B43-485E47E30677}" type="pres">
      <dgm:prSet presAssocID="{5D3F7002-CA88-4585-B71F-6305C48F267D}" presName="hierChild4" presStyleCnt="0"/>
      <dgm:spPr/>
    </dgm:pt>
    <dgm:pt modelId="{1A493FB2-E79B-461B-8AE2-7C02EF9A6D7A}" type="pres">
      <dgm:prSet presAssocID="{5D3F7002-CA88-4585-B71F-6305C48F267D}" presName="hierChild5" presStyleCnt="0"/>
      <dgm:spPr/>
    </dgm:pt>
    <dgm:pt modelId="{02B5F93F-B7CC-494A-9EB7-C0C6C7755158}" type="pres">
      <dgm:prSet presAssocID="{A9CABC14-B69F-467A-85FB-C24AB382C28D}" presName="Name37" presStyleLbl="parChTrans1D2" presStyleIdx="4" presStyleCnt="7"/>
      <dgm:spPr/>
      <dgm:t>
        <a:bodyPr/>
        <a:lstStyle/>
        <a:p>
          <a:endParaRPr lang="en-US"/>
        </a:p>
      </dgm:t>
    </dgm:pt>
    <dgm:pt modelId="{5B59D44E-9600-40B6-B482-1D9C126509D7}" type="pres">
      <dgm:prSet presAssocID="{0D98307C-AF56-4105-A7EF-3549D4FC38BD}" presName="hierRoot2" presStyleCnt="0">
        <dgm:presLayoutVars>
          <dgm:hierBranch val="init"/>
        </dgm:presLayoutVars>
      </dgm:prSet>
      <dgm:spPr/>
    </dgm:pt>
    <dgm:pt modelId="{739E0E1A-CDBB-4E7D-A993-F3A4C6A671F6}" type="pres">
      <dgm:prSet presAssocID="{0D98307C-AF56-4105-A7EF-3549D4FC38BD}" presName="rootComposite" presStyleCnt="0"/>
      <dgm:spPr/>
    </dgm:pt>
    <dgm:pt modelId="{A9CAD70D-91F0-4CCC-9BA2-F4A6B135B7AF}" type="pres">
      <dgm:prSet presAssocID="{0D98307C-AF56-4105-A7EF-3549D4FC38BD}" presName="rootText" presStyleLbl="node2" presStyleIdx="4" presStyleCnt="5">
        <dgm:presLayoutVars>
          <dgm:chPref val="3"/>
        </dgm:presLayoutVars>
      </dgm:prSet>
      <dgm:spPr/>
      <dgm:t>
        <a:bodyPr/>
        <a:lstStyle/>
        <a:p>
          <a:endParaRPr lang="en-US"/>
        </a:p>
      </dgm:t>
    </dgm:pt>
    <dgm:pt modelId="{2C507B93-B328-4DF1-B856-AF54DAB8DD82}" type="pres">
      <dgm:prSet presAssocID="{0D98307C-AF56-4105-A7EF-3549D4FC38BD}" presName="rootPict" presStyleLbl="alignImgPlace1" presStyleIdx="5" presStyleCnt="8"/>
      <dgm:spPr/>
    </dgm:pt>
    <dgm:pt modelId="{6705F803-C25F-458B-8323-C057785AD51F}" type="pres">
      <dgm:prSet presAssocID="{0D98307C-AF56-4105-A7EF-3549D4FC38BD}" presName="rootConnector" presStyleLbl="node2" presStyleIdx="4" presStyleCnt="5"/>
      <dgm:spPr/>
      <dgm:t>
        <a:bodyPr/>
        <a:lstStyle/>
        <a:p>
          <a:endParaRPr lang="en-US"/>
        </a:p>
      </dgm:t>
    </dgm:pt>
    <dgm:pt modelId="{F06A084F-75A7-48B4-B356-79A4775ACD14}" type="pres">
      <dgm:prSet presAssocID="{0D98307C-AF56-4105-A7EF-3549D4FC38BD}" presName="hierChild4" presStyleCnt="0"/>
      <dgm:spPr/>
    </dgm:pt>
    <dgm:pt modelId="{A2FEF75C-9D98-48FA-8AE8-5C40D928AFBD}" type="pres">
      <dgm:prSet presAssocID="{0D98307C-AF56-4105-A7EF-3549D4FC38BD}" presName="hierChild5" presStyleCnt="0"/>
      <dgm:spPr/>
    </dgm:pt>
    <dgm:pt modelId="{3395A6A8-D05E-445B-B09B-6803360B5475}" type="pres">
      <dgm:prSet presAssocID="{1B278356-2997-4300-976D-49ECA6E2B8B1}" presName="hierChild3" presStyleCnt="0"/>
      <dgm:spPr/>
    </dgm:pt>
    <dgm:pt modelId="{CFB741E2-CCAD-4BF7-9219-29CB78C56C37}" type="pres">
      <dgm:prSet presAssocID="{0A633BEF-E1FC-4009-89ED-7000BE5AD802}" presName="Name111" presStyleLbl="parChTrans1D2" presStyleIdx="5" presStyleCnt="7"/>
      <dgm:spPr/>
      <dgm:t>
        <a:bodyPr/>
        <a:lstStyle/>
        <a:p>
          <a:endParaRPr lang="en-US"/>
        </a:p>
      </dgm:t>
    </dgm:pt>
    <dgm:pt modelId="{C107FAD7-01B8-4DC9-BB98-F34358A2D153}" type="pres">
      <dgm:prSet presAssocID="{0C4D6D1E-0B08-4353-8A4E-D74AAFA8D3D0}" presName="hierRoot3" presStyleCnt="0">
        <dgm:presLayoutVars>
          <dgm:hierBranch val="init"/>
        </dgm:presLayoutVars>
      </dgm:prSet>
      <dgm:spPr/>
    </dgm:pt>
    <dgm:pt modelId="{FED468B8-B690-43C8-A137-2CB95711EDA8}" type="pres">
      <dgm:prSet presAssocID="{0C4D6D1E-0B08-4353-8A4E-D74AAFA8D3D0}" presName="rootComposite3" presStyleCnt="0"/>
      <dgm:spPr/>
    </dgm:pt>
    <dgm:pt modelId="{BD447BAE-B200-44BB-AF39-9DDD1E2D13DD}" type="pres">
      <dgm:prSet presAssocID="{0C4D6D1E-0B08-4353-8A4E-D74AAFA8D3D0}" presName="rootText3" presStyleLbl="asst1" presStyleIdx="0" presStyleCnt="2">
        <dgm:presLayoutVars>
          <dgm:chPref val="3"/>
        </dgm:presLayoutVars>
      </dgm:prSet>
      <dgm:spPr/>
      <dgm:t>
        <a:bodyPr/>
        <a:lstStyle/>
        <a:p>
          <a:endParaRPr lang="en-US"/>
        </a:p>
      </dgm:t>
    </dgm:pt>
    <dgm:pt modelId="{2F542769-F974-4153-8658-68CA461FA3C5}" type="pres">
      <dgm:prSet presAssocID="{0C4D6D1E-0B08-4353-8A4E-D74AAFA8D3D0}" presName="rootPict3" presStyleLbl="alignImgPlace1" presStyleIdx="6" presStyleCnt="8"/>
      <dgm:spPr/>
    </dgm:pt>
    <dgm:pt modelId="{FF6F7FDC-CA8D-4360-9568-FC5ED55EC951}" type="pres">
      <dgm:prSet presAssocID="{0C4D6D1E-0B08-4353-8A4E-D74AAFA8D3D0}" presName="rootConnector3" presStyleLbl="asst1" presStyleIdx="0" presStyleCnt="2"/>
      <dgm:spPr/>
      <dgm:t>
        <a:bodyPr/>
        <a:lstStyle/>
        <a:p>
          <a:endParaRPr lang="en-US"/>
        </a:p>
      </dgm:t>
    </dgm:pt>
    <dgm:pt modelId="{D42531E4-6E58-4BCC-9BD1-B309A3257656}" type="pres">
      <dgm:prSet presAssocID="{0C4D6D1E-0B08-4353-8A4E-D74AAFA8D3D0}" presName="hierChild6" presStyleCnt="0"/>
      <dgm:spPr/>
    </dgm:pt>
    <dgm:pt modelId="{318E8C41-14C7-4649-B844-CE47EBAD2F4E}" type="pres">
      <dgm:prSet presAssocID="{0C4D6D1E-0B08-4353-8A4E-D74AAFA8D3D0}" presName="hierChild7" presStyleCnt="0"/>
      <dgm:spPr/>
    </dgm:pt>
    <dgm:pt modelId="{3397FFAC-2F66-4780-9BB0-A978678B5B49}" type="pres">
      <dgm:prSet presAssocID="{7404BBD2-2D2A-4421-8965-EE59A00F5634}" presName="Name111" presStyleLbl="parChTrans1D2" presStyleIdx="6" presStyleCnt="7"/>
      <dgm:spPr/>
      <dgm:t>
        <a:bodyPr/>
        <a:lstStyle/>
        <a:p>
          <a:endParaRPr lang="en-US"/>
        </a:p>
      </dgm:t>
    </dgm:pt>
    <dgm:pt modelId="{C3C8F04B-5323-447D-B68D-EDC672B581C0}" type="pres">
      <dgm:prSet presAssocID="{BB79D2B6-52F5-4E9C-8C88-CEF296268091}" presName="hierRoot3" presStyleCnt="0">
        <dgm:presLayoutVars>
          <dgm:hierBranch val="init"/>
        </dgm:presLayoutVars>
      </dgm:prSet>
      <dgm:spPr/>
    </dgm:pt>
    <dgm:pt modelId="{B22BE526-9A75-45E7-9F56-91E44E25CF7C}" type="pres">
      <dgm:prSet presAssocID="{BB79D2B6-52F5-4E9C-8C88-CEF296268091}" presName="rootComposite3" presStyleCnt="0"/>
      <dgm:spPr/>
    </dgm:pt>
    <dgm:pt modelId="{50EC18C1-5140-496D-B99D-6BE60D003AE1}" type="pres">
      <dgm:prSet presAssocID="{BB79D2B6-52F5-4E9C-8C88-CEF296268091}" presName="rootText3" presStyleLbl="asst1" presStyleIdx="1" presStyleCnt="2">
        <dgm:presLayoutVars>
          <dgm:chPref val="3"/>
        </dgm:presLayoutVars>
      </dgm:prSet>
      <dgm:spPr/>
      <dgm:t>
        <a:bodyPr/>
        <a:lstStyle/>
        <a:p>
          <a:endParaRPr lang="en-US"/>
        </a:p>
      </dgm:t>
    </dgm:pt>
    <dgm:pt modelId="{84EB6FB4-A68E-4DF8-B154-A93D625814F4}" type="pres">
      <dgm:prSet presAssocID="{BB79D2B6-52F5-4E9C-8C88-CEF296268091}" presName="rootPict3" presStyleLbl="alignImgPlace1" presStyleIdx="7" presStyleCnt="8"/>
      <dgm:spPr/>
    </dgm:pt>
    <dgm:pt modelId="{D41F74E9-AEA7-4B42-A693-45A2FC14DB15}" type="pres">
      <dgm:prSet presAssocID="{BB79D2B6-52F5-4E9C-8C88-CEF296268091}" presName="rootConnector3" presStyleLbl="asst1" presStyleIdx="1" presStyleCnt="2"/>
      <dgm:spPr/>
      <dgm:t>
        <a:bodyPr/>
        <a:lstStyle/>
        <a:p>
          <a:endParaRPr lang="en-US"/>
        </a:p>
      </dgm:t>
    </dgm:pt>
    <dgm:pt modelId="{2062108A-F5D3-4D28-AEEF-C82C950227E5}" type="pres">
      <dgm:prSet presAssocID="{BB79D2B6-52F5-4E9C-8C88-CEF296268091}" presName="hierChild6" presStyleCnt="0"/>
      <dgm:spPr/>
    </dgm:pt>
    <dgm:pt modelId="{D3048F44-F131-4768-A7EE-AE44737A4827}" type="pres">
      <dgm:prSet presAssocID="{BB79D2B6-52F5-4E9C-8C88-CEF296268091}" presName="hierChild7" presStyleCnt="0"/>
      <dgm:spPr/>
    </dgm:pt>
  </dgm:ptLst>
  <dgm:cxnLst>
    <dgm:cxn modelId="{D43850C4-F9D2-446A-8B45-43B3EE316CAB}" srcId="{1B278356-2997-4300-976D-49ECA6E2B8B1}" destId="{565B4E41-210D-442C-8FE9-7532B99F32EA}" srcOrd="3" destOrd="0" parTransId="{D4DB9667-AADA-41E2-B373-27B8AE4C6C7E}" sibTransId="{27616ACA-D44E-401A-B135-C66CE0A194E0}"/>
    <dgm:cxn modelId="{A7DA6DFF-5FC9-425B-9B11-376EA376E4FD}" type="presOf" srcId="{0C4D6D1E-0B08-4353-8A4E-D74AAFA8D3D0}" destId="{FF6F7FDC-CA8D-4360-9568-FC5ED55EC951}" srcOrd="1" destOrd="0" presId="urn:microsoft.com/office/officeart/2005/8/layout/pictureOrgChart+Icon"/>
    <dgm:cxn modelId="{DB269851-FEC1-44D0-BF3F-76952427825E}" type="presOf" srcId="{0A633BEF-E1FC-4009-89ED-7000BE5AD802}" destId="{CFB741E2-CCAD-4BF7-9219-29CB78C56C37}" srcOrd="0" destOrd="0" presId="urn:microsoft.com/office/officeart/2005/8/layout/pictureOrgChart+Icon"/>
    <dgm:cxn modelId="{C75BA087-C0C2-4303-A648-5B95493D2306}" srcId="{B4911877-B27F-49BB-897C-15C1EF40FD32}" destId="{1B278356-2997-4300-976D-49ECA6E2B8B1}" srcOrd="0" destOrd="0" parTransId="{39899439-E738-44D8-A5AE-1FB52ABFD534}" sibTransId="{82EF85CA-669E-455F-B7F7-98F2E4BF2F58}"/>
    <dgm:cxn modelId="{C6C6345C-493F-4F89-857F-AF3EA5A2A545}" srcId="{1B278356-2997-4300-976D-49ECA6E2B8B1}" destId="{5D3F7002-CA88-4585-B71F-6305C48F267D}" srcOrd="5" destOrd="0" parTransId="{1217BDB2-8A76-44EB-B94E-D9730B17CF1A}" sibTransId="{F6A77698-C431-4A39-BD6C-B5CF2FE5314C}"/>
    <dgm:cxn modelId="{78EECBE9-4DD5-4AA4-8D9B-A720F83C2409}" type="presOf" srcId="{0D98307C-AF56-4105-A7EF-3549D4FC38BD}" destId="{6705F803-C25F-458B-8323-C057785AD51F}" srcOrd="1" destOrd="0" presId="urn:microsoft.com/office/officeart/2005/8/layout/pictureOrgChart+Icon"/>
    <dgm:cxn modelId="{81A9E706-546F-4B19-841D-1F49BB4F052B}" type="presOf" srcId="{D4DB9667-AADA-41E2-B373-27B8AE4C6C7E}" destId="{32361472-DA05-42A9-91CB-C970AFC57CB5}" srcOrd="0" destOrd="0" presId="urn:microsoft.com/office/officeart/2005/8/layout/pictureOrgChart+Icon"/>
    <dgm:cxn modelId="{FBD27847-5043-4D3C-8373-7248E50DBD3E}" type="presOf" srcId="{0D98307C-AF56-4105-A7EF-3549D4FC38BD}" destId="{A9CAD70D-91F0-4CCC-9BA2-F4A6B135B7AF}" srcOrd="0" destOrd="0" presId="urn:microsoft.com/office/officeart/2005/8/layout/pictureOrgChart+Icon"/>
    <dgm:cxn modelId="{2F370F68-3ACC-4416-81B0-D2FFB44FC265}" type="presOf" srcId="{5DA0E3C4-76EA-4246-9EE4-EA7ADFF662EC}" destId="{215F779A-061A-466D-AEA6-51A6B1B9F8E7}" srcOrd="0" destOrd="0" presId="urn:microsoft.com/office/officeart/2005/8/layout/pictureOrgChart+Icon"/>
    <dgm:cxn modelId="{35D81EFB-8D96-4979-9C94-75A107BB1D0C}" type="presOf" srcId="{ADC0A80F-7DCA-41CB-B17F-5849955CC2A3}" destId="{331C7A53-00BE-449E-AB61-2B1448A8DEF4}" srcOrd="0" destOrd="0" presId="urn:microsoft.com/office/officeart/2005/8/layout/pictureOrgChart+Icon"/>
    <dgm:cxn modelId="{174ADBA6-DE4F-45A1-BEE9-4DD60F310262}" srcId="{1B278356-2997-4300-976D-49ECA6E2B8B1}" destId="{871F919E-0F6A-4570-8DD6-2CC91BBE59F4}" srcOrd="4" destOrd="0" parTransId="{5DA0E3C4-76EA-4246-9EE4-EA7ADFF662EC}" sibTransId="{BC01BBB9-6471-435D-8848-092B38FBFE97}"/>
    <dgm:cxn modelId="{2BB1CC5E-0FED-449F-A645-79873B256FBA}" srcId="{1B278356-2997-4300-976D-49ECA6E2B8B1}" destId="{0D98307C-AF56-4105-A7EF-3549D4FC38BD}" srcOrd="6" destOrd="0" parTransId="{A9CABC14-B69F-467A-85FB-C24AB382C28D}" sibTransId="{926E2ED8-CF0D-4B08-AB62-4A20257B1280}"/>
    <dgm:cxn modelId="{1E20BEF8-54F5-4379-829C-07D8A8E441DB}" type="presOf" srcId="{871F919E-0F6A-4570-8DD6-2CC91BBE59F4}" destId="{9458DBDF-0180-4DEA-BE92-6DBBCB8DED3E}" srcOrd="0" destOrd="0" presId="urn:microsoft.com/office/officeart/2005/8/layout/pictureOrgChart+Icon"/>
    <dgm:cxn modelId="{23CA3A43-3047-4C50-A41E-D5ABA1F9AEFD}" type="presOf" srcId="{0C4D6D1E-0B08-4353-8A4E-D74AAFA8D3D0}" destId="{BD447BAE-B200-44BB-AF39-9DDD1E2D13DD}" srcOrd="0" destOrd="0" presId="urn:microsoft.com/office/officeart/2005/8/layout/pictureOrgChart+Icon"/>
    <dgm:cxn modelId="{AF250E07-C17F-4F76-BC65-CD1933F6B34B}" type="presOf" srcId="{565B4E41-210D-442C-8FE9-7532B99F32EA}" destId="{E2237220-BDFF-49F2-9550-B7D2BF8CB8EA}" srcOrd="0" destOrd="0" presId="urn:microsoft.com/office/officeart/2005/8/layout/pictureOrgChart+Icon"/>
    <dgm:cxn modelId="{AA6B6685-B340-455E-A140-6F1B641C947F}" type="presOf" srcId="{565B4E41-210D-442C-8FE9-7532B99F32EA}" destId="{771A8440-A7F4-4AA7-B3CD-A401816F8A2B}" srcOrd="1" destOrd="0" presId="urn:microsoft.com/office/officeart/2005/8/layout/pictureOrgChart+Icon"/>
    <dgm:cxn modelId="{004B7081-453B-4D85-B9C0-9E7322851183}" type="presOf" srcId="{BB79D2B6-52F5-4E9C-8C88-CEF296268091}" destId="{50EC18C1-5140-496D-B99D-6BE60D003AE1}" srcOrd="0" destOrd="0" presId="urn:microsoft.com/office/officeart/2005/8/layout/pictureOrgChart+Icon"/>
    <dgm:cxn modelId="{C6F8F34C-7EC9-485F-9EA3-05047CFFE500}" type="presOf" srcId="{5D3F7002-CA88-4585-B71F-6305C48F267D}" destId="{EAD38AF5-E3BD-4DF0-90AC-FA33843F94E7}" srcOrd="0" destOrd="0" presId="urn:microsoft.com/office/officeart/2005/8/layout/pictureOrgChart+Icon"/>
    <dgm:cxn modelId="{484FEAD0-CB96-47CC-9CC4-A6680383F16A}" type="presOf" srcId="{5D3F7002-CA88-4585-B71F-6305C48F267D}" destId="{940EAA51-F9AB-425A-ABD5-AA9B18E22AE5}" srcOrd="1" destOrd="0" presId="urn:microsoft.com/office/officeart/2005/8/layout/pictureOrgChart+Icon"/>
    <dgm:cxn modelId="{81E6063C-BB76-44A0-AC98-8EC400DCDFE8}" type="presOf" srcId="{ADC0A80F-7DCA-41CB-B17F-5849955CC2A3}" destId="{17092D92-4495-427C-A0CC-CF6DCA05B9CA}" srcOrd="1" destOrd="0" presId="urn:microsoft.com/office/officeart/2005/8/layout/pictureOrgChart+Icon"/>
    <dgm:cxn modelId="{2779CB48-5A14-468F-A7C8-D0EDA3C3551E}" type="presOf" srcId="{871F919E-0F6A-4570-8DD6-2CC91BBE59F4}" destId="{912E73C3-0135-48F3-808F-5FA46784E761}" srcOrd="1" destOrd="0" presId="urn:microsoft.com/office/officeart/2005/8/layout/pictureOrgChart+Icon"/>
    <dgm:cxn modelId="{8A749F4A-445D-43C4-9C82-B1381F817D73}" srcId="{1B278356-2997-4300-976D-49ECA6E2B8B1}" destId="{BB79D2B6-52F5-4E9C-8C88-CEF296268091}" srcOrd="1" destOrd="0" parTransId="{7404BBD2-2D2A-4421-8965-EE59A00F5634}" sibTransId="{6F066FE5-48F2-492D-8A52-38D70FB2951B}"/>
    <dgm:cxn modelId="{592CD49E-B7AF-40E2-B046-8C5875DADCE2}" type="presOf" srcId="{1217BDB2-8A76-44EB-B94E-D9730B17CF1A}" destId="{0179B8FB-368C-4E8D-AD1C-F94604004521}" srcOrd="0" destOrd="0" presId="urn:microsoft.com/office/officeart/2005/8/layout/pictureOrgChart+Icon"/>
    <dgm:cxn modelId="{17945314-FCF7-4286-A423-6B1C6BE6C80F}" type="presOf" srcId="{B4911877-B27F-49BB-897C-15C1EF40FD32}" destId="{89D191C0-5A00-495C-B4DD-93AF0F8C2249}" srcOrd="0" destOrd="0" presId="urn:microsoft.com/office/officeart/2005/8/layout/pictureOrgChart+Icon"/>
    <dgm:cxn modelId="{359821C6-D43B-4B4C-8667-BA278489DBF5}" type="presOf" srcId="{43D62EF1-AA3A-4F93-83B4-7D7D4119B1ED}" destId="{A2529808-DB86-4348-8180-18104148ED12}" srcOrd="0" destOrd="0" presId="urn:microsoft.com/office/officeart/2005/8/layout/pictureOrgChart+Icon"/>
    <dgm:cxn modelId="{49FF99D7-304D-41CD-9996-4BE6317B72B9}" srcId="{1B278356-2997-4300-976D-49ECA6E2B8B1}" destId="{0C4D6D1E-0B08-4353-8A4E-D74AAFA8D3D0}" srcOrd="0" destOrd="0" parTransId="{0A633BEF-E1FC-4009-89ED-7000BE5AD802}" sibTransId="{C71FEE94-0E0B-42B4-9D06-5E2ECAD34532}"/>
    <dgm:cxn modelId="{4282C3C4-96C3-4C7E-98EC-636D994F0EAB}" type="presOf" srcId="{BB79D2B6-52F5-4E9C-8C88-CEF296268091}" destId="{D41F74E9-AEA7-4B42-A693-45A2FC14DB15}" srcOrd="1" destOrd="0" presId="urn:microsoft.com/office/officeart/2005/8/layout/pictureOrgChart+Icon"/>
    <dgm:cxn modelId="{573928F3-C819-48DD-A120-2F65D2BAFC00}" type="presOf" srcId="{1B278356-2997-4300-976D-49ECA6E2B8B1}" destId="{9D04D828-3150-4F0E-B2E9-2C11E4F85A8B}" srcOrd="1" destOrd="0" presId="urn:microsoft.com/office/officeart/2005/8/layout/pictureOrgChart+Icon"/>
    <dgm:cxn modelId="{C6CE768E-9077-446A-8AB4-DB9D90558A85}" srcId="{1B278356-2997-4300-976D-49ECA6E2B8B1}" destId="{ADC0A80F-7DCA-41CB-B17F-5849955CC2A3}" srcOrd="2" destOrd="0" parTransId="{43D62EF1-AA3A-4F93-83B4-7D7D4119B1ED}" sibTransId="{BEE69A9E-15C4-426C-B99C-6A2979BFF802}"/>
    <dgm:cxn modelId="{E3F0B679-C7A5-4582-8851-81F01EB43510}" type="presOf" srcId="{A9CABC14-B69F-467A-85FB-C24AB382C28D}" destId="{02B5F93F-B7CC-494A-9EB7-C0C6C7755158}" srcOrd="0" destOrd="0" presId="urn:microsoft.com/office/officeart/2005/8/layout/pictureOrgChart+Icon"/>
    <dgm:cxn modelId="{EFA34BC3-93DA-4FEA-ADBC-6662EF842362}" type="presOf" srcId="{7404BBD2-2D2A-4421-8965-EE59A00F5634}" destId="{3397FFAC-2F66-4780-9BB0-A978678B5B49}" srcOrd="0" destOrd="0" presId="urn:microsoft.com/office/officeart/2005/8/layout/pictureOrgChart+Icon"/>
    <dgm:cxn modelId="{454685F7-B126-4601-9F8C-4C4274B064A9}" type="presOf" srcId="{1B278356-2997-4300-976D-49ECA6E2B8B1}" destId="{F675FFC4-3DB0-46A4-ADE5-6B02122444EC}" srcOrd="0" destOrd="0" presId="urn:microsoft.com/office/officeart/2005/8/layout/pictureOrgChart+Icon"/>
    <dgm:cxn modelId="{B70EE38E-6440-4A5A-AB91-67E6DA093ED6}" type="presParOf" srcId="{89D191C0-5A00-495C-B4DD-93AF0F8C2249}" destId="{A11A7C6F-BFC5-4F5D-9134-030906668D22}" srcOrd="0" destOrd="0" presId="urn:microsoft.com/office/officeart/2005/8/layout/pictureOrgChart+Icon"/>
    <dgm:cxn modelId="{2CF3B086-304A-4459-B52C-C017B47C79ED}" type="presParOf" srcId="{A11A7C6F-BFC5-4F5D-9134-030906668D22}" destId="{99F82637-3561-4A57-8D72-9B29387BFA24}" srcOrd="0" destOrd="0" presId="urn:microsoft.com/office/officeart/2005/8/layout/pictureOrgChart+Icon"/>
    <dgm:cxn modelId="{4B90F581-5A19-4CFB-8D9C-4BCFD468C5F3}" type="presParOf" srcId="{99F82637-3561-4A57-8D72-9B29387BFA24}" destId="{F675FFC4-3DB0-46A4-ADE5-6B02122444EC}" srcOrd="0" destOrd="0" presId="urn:microsoft.com/office/officeart/2005/8/layout/pictureOrgChart+Icon"/>
    <dgm:cxn modelId="{3DFE431D-38D9-424E-9C37-F57DA49EC43C}" type="presParOf" srcId="{99F82637-3561-4A57-8D72-9B29387BFA24}" destId="{C23D3C81-E119-4D97-82BF-45C4D7B5BC54}" srcOrd="1" destOrd="0" presId="urn:microsoft.com/office/officeart/2005/8/layout/pictureOrgChart+Icon"/>
    <dgm:cxn modelId="{E18236F9-6C6A-4060-988E-B45CAEDAB784}" type="presParOf" srcId="{99F82637-3561-4A57-8D72-9B29387BFA24}" destId="{9D04D828-3150-4F0E-B2E9-2C11E4F85A8B}" srcOrd="2" destOrd="0" presId="urn:microsoft.com/office/officeart/2005/8/layout/pictureOrgChart+Icon"/>
    <dgm:cxn modelId="{262B49B3-3458-4482-9021-B559F3659F18}" type="presParOf" srcId="{A11A7C6F-BFC5-4F5D-9134-030906668D22}" destId="{4E75D476-3A8E-4063-AE4A-D4F3095A80B5}" srcOrd="1" destOrd="0" presId="urn:microsoft.com/office/officeart/2005/8/layout/pictureOrgChart+Icon"/>
    <dgm:cxn modelId="{13064307-5929-4E6B-9E7C-3564E9904515}" type="presParOf" srcId="{4E75D476-3A8E-4063-AE4A-D4F3095A80B5}" destId="{A2529808-DB86-4348-8180-18104148ED12}" srcOrd="0" destOrd="0" presId="urn:microsoft.com/office/officeart/2005/8/layout/pictureOrgChart+Icon"/>
    <dgm:cxn modelId="{482F946C-EE5A-410C-8D9F-4AFA57D49843}" type="presParOf" srcId="{4E75D476-3A8E-4063-AE4A-D4F3095A80B5}" destId="{E902ED58-45D9-4F47-BA64-5ADF7F2C375A}" srcOrd="1" destOrd="0" presId="urn:microsoft.com/office/officeart/2005/8/layout/pictureOrgChart+Icon"/>
    <dgm:cxn modelId="{8106E12B-E7B8-4E0F-9122-F176AD7B466F}" type="presParOf" srcId="{E902ED58-45D9-4F47-BA64-5ADF7F2C375A}" destId="{DD863C45-8D05-4C5E-BCAC-D8DCFE2D6363}" srcOrd="0" destOrd="0" presId="urn:microsoft.com/office/officeart/2005/8/layout/pictureOrgChart+Icon"/>
    <dgm:cxn modelId="{137EE782-1E8A-46D7-95D5-7CFC44CEC932}" type="presParOf" srcId="{DD863C45-8D05-4C5E-BCAC-D8DCFE2D6363}" destId="{331C7A53-00BE-449E-AB61-2B1448A8DEF4}" srcOrd="0" destOrd="0" presId="urn:microsoft.com/office/officeart/2005/8/layout/pictureOrgChart+Icon"/>
    <dgm:cxn modelId="{0DD7A4C6-A5AC-4F3E-AB78-BC797FD4BF70}" type="presParOf" srcId="{DD863C45-8D05-4C5E-BCAC-D8DCFE2D6363}" destId="{F7735DA4-63C1-4DA2-A4D8-2D0B5C78128D}" srcOrd="1" destOrd="0" presId="urn:microsoft.com/office/officeart/2005/8/layout/pictureOrgChart+Icon"/>
    <dgm:cxn modelId="{823BDC2F-7342-4E3B-8AA4-BDBEA450EFDC}" type="presParOf" srcId="{DD863C45-8D05-4C5E-BCAC-D8DCFE2D6363}" destId="{17092D92-4495-427C-A0CC-CF6DCA05B9CA}" srcOrd="2" destOrd="0" presId="urn:microsoft.com/office/officeart/2005/8/layout/pictureOrgChart+Icon"/>
    <dgm:cxn modelId="{6E13C269-0145-4F11-92AF-BEBE814C8D2D}" type="presParOf" srcId="{E902ED58-45D9-4F47-BA64-5ADF7F2C375A}" destId="{C48DE0D9-6755-49A5-A33B-052C8F7B1467}" srcOrd="1" destOrd="0" presId="urn:microsoft.com/office/officeart/2005/8/layout/pictureOrgChart+Icon"/>
    <dgm:cxn modelId="{E6C88299-3145-4BC5-B9AC-51EE31601F64}" type="presParOf" srcId="{E902ED58-45D9-4F47-BA64-5ADF7F2C375A}" destId="{404688A1-4354-48AC-AE9E-017828A2FCB1}" srcOrd="2" destOrd="0" presId="urn:microsoft.com/office/officeart/2005/8/layout/pictureOrgChart+Icon"/>
    <dgm:cxn modelId="{5FBB5B18-9464-4E7A-83D5-229D3947C3F3}" type="presParOf" srcId="{4E75D476-3A8E-4063-AE4A-D4F3095A80B5}" destId="{32361472-DA05-42A9-91CB-C970AFC57CB5}" srcOrd="2" destOrd="0" presId="urn:microsoft.com/office/officeart/2005/8/layout/pictureOrgChart+Icon"/>
    <dgm:cxn modelId="{1F0D981B-955E-4B95-832B-D77C4E7682A3}" type="presParOf" srcId="{4E75D476-3A8E-4063-AE4A-D4F3095A80B5}" destId="{E953DA88-A187-4BED-98BF-0EA25AD84B81}" srcOrd="3" destOrd="0" presId="urn:microsoft.com/office/officeart/2005/8/layout/pictureOrgChart+Icon"/>
    <dgm:cxn modelId="{E4E5D69B-5B47-405C-A910-EE05C6A95A5C}" type="presParOf" srcId="{E953DA88-A187-4BED-98BF-0EA25AD84B81}" destId="{2FA4BF02-78BB-4DF9-8BAA-E3EDCBD613C7}" srcOrd="0" destOrd="0" presId="urn:microsoft.com/office/officeart/2005/8/layout/pictureOrgChart+Icon"/>
    <dgm:cxn modelId="{C80A6C05-279C-4DA0-A718-AC769852BCAF}" type="presParOf" srcId="{2FA4BF02-78BB-4DF9-8BAA-E3EDCBD613C7}" destId="{E2237220-BDFF-49F2-9550-B7D2BF8CB8EA}" srcOrd="0" destOrd="0" presId="urn:microsoft.com/office/officeart/2005/8/layout/pictureOrgChart+Icon"/>
    <dgm:cxn modelId="{306A5694-ED60-4BDC-BA20-DCD60F4B9EE2}" type="presParOf" srcId="{2FA4BF02-78BB-4DF9-8BAA-E3EDCBD613C7}" destId="{DBFF5FEC-D333-4E30-AE01-DDEDCBFDB80E}" srcOrd="1" destOrd="0" presId="urn:microsoft.com/office/officeart/2005/8/layout/pictureOrgChart+Icon"/>
    <dgm:cxn modelId="{CB38F192-12C9-4161-8D05-1B0092C3B62B}" type="presParOf" srcId="{2FA4BF02-78BB-4DF9-8BAA-E3EDCBD613C7}" destId="{771A8440-A7F4-4AA7-B3CD-A401816F8A2B}" srcOrd="2" destOrd="0" presId="urn:microsoft.com/office/officeart/2005/8/layout/pictureOrgChart+Icon"/>
    <dgm:cxn modelId="{69BC029F-4F0E-4874-9460-D5BFDDE1D11A}" type="presParOf" srcId="{E953DA88-A187-4BED-98BF-0EA25AD84B81}" destId="{9F2D661B-BCD5-4D21-ABEC-75D31CC5DC65}" srcOrd="1" destOrd="0" presId="urn:microsoft.com/office/officeart/2005/8/layout/pictureOrgChart+Icon"/>
    <dgm:cxn modelId="{EC0D6939-88E5-483E-86A4-CE05B212B534}" type="presParOf" srcId="{E953DA88-A187-4BED-98BF-0EA25AD84B81}" destId="{B7E4CF53-F0CD-4F40-9E15-8A572FFA0395}" srcOrd="2" destOrd="0" presId="urn:microsoft.com/office/officeart/2005/8/layout/pictureOrgChart+Icon"/>
    <dgm:cxn modelId="{DDB189A1-5481-44E0-8EF7-FF3BFDB079D7}" type="presParOf" srcId="{4E75D476-3A8E-4063-AE4A-D4F3095A80B5}" destId="{215F779A-061A-466D-AEA6-51A6B1B9F8E7}" srcOrd="4" destOrd="0" presId="urn:microsoft.com/office/officeart/2005/8/layout/pictureOrgChart+Icon"/>
    <dgm:cxn modelId="{B3F92C2F-5FD9-4576-A615-7F37CB4F0AD0}" type="presParOf" srcId="{4E75D476-3A8E-4063-AE4A-D4F3095A80B5}" destId="{0F9E1AC3-4F9B-4D1A-8BB3-EF818B571951}" srcOrd="5" destOrd="0" presId="urn:microsoft.com/office/officeart/2005/8/layout/pictureOrgChart+Icon"/>
    <dgm:cxn modelId="{EB5A15F6-FD5A-4404-83D8-99A5B76FB4C9}" type="presParOf" srcId="{0F9E1AC3-4F9B-4D1A-8BB3-EF818B571951}" destId="{5941FEFE-9930-4493-977E-9842DF637374}" srcOrd="0" destOrd="0" presId="urn:microsoft.com/office/officeart/2005/8/layout/pictureOrgChart+Icon"/>
    <dgm:cxn modelId="{C102CBB6-2BC2-44C9-A223-48392BBE1BAA}" type="presParOf" srcId="{5941FEFE-9930-4493-977E-9842DF637374}" destId="{9458DBDF-0180-4DEA-BE92-6DBBCB8DED3E}" srcOrd="0" destOrd="0" presId="urn:microsoft.com/office/officeart/2005/8/layout/pictureOrgChart+Icon"/>
    <dgm:cxn modelId="{47158C4C-2151-403A-B3FC-8F301BDA1EC5}" type="presParOf" srcId="{5941FEFE-9930-4493-977E-9842DF637374}" destId="{49CA654B-2F29-4E5A-B121-196EEBE68953}" srcOrd="1" destOrd="0" presId="urn:microsoft.com/office/officeart/2005/8/layout/pictureOrgChart+Icon"/>
    <dgm:cxn modelId="{EF34331A-FE94-4D64-8D96-FAC1D68C7137}" type="presParOf" srcId="{5941FEFE-9930-4493-977E-9842DF637374}" destId="{912E73C3-0135-48F3-808F-5FA46784E761}" srcOrd="2" destOrd="0" presId="urn:microsoft.com/office/officeart/2005/8/layout/pictureOrgChart+Icon"/>
    <dgm:cxn modelId="{1F7BF335-DB85-47DE-82C6-B1125314D827}" type="presParOf" srcId="{0F9E1AC3-4F9B-4D1A-8BB3-EF818B571951}" destId="{7654A9CD-7DBF-4D4C-AC8D-409F95E02D65}" srcOrd="1" destOrd="0" presId="urn:microsoft.com/office/officeart/2005/8/layout/pictureOrgChart+Icon"/>
    <dgm:cxn modelId="{19C39AF2-2428-4B64-99E0-9BA13582FC61}" type="presParOf" srcId="{0F9E1AC3-4F9B-4D1A-8BB3-EF818B571951}" destId="{A214DCAC-3835-4B3C-9ECA-762A4444691F}" srcOrd="2" destOrd="0" presId="urn:microsoft.com/office/officeart/2005/8/layout/pictureOrgChart+Icon"/>
    <dgm:cxn modelId="{0D37333D-32A6-44B6-B3DF-D521062C5502}" type="presParOf" srcId="{4E75D476-3A8E-4063-AE4A-D4F3095A80B5}" destId="{0179B8FB-368C-4E8D-AD1C-F94604004521}" srcOrd="6" destOrd="0" presId="urn:microsoft.com/office/officeart/2005/8/layout/pictureOrgChart+Icon"/>
    <dgm:cxn modelId="{73A47056-CA78-4759-BCC9-DAF0761739F1}" type="presParOf" srcId="{4E75D476-3A8E-4063-AE4A-D4F3095A80B5}" destId="{6355AE00-4920-4EDD-96E9-92801D64BD46}" srcOrd="7" destOrd="0" presId="urn:microsoft.com/office/officeart/2005/8/layout/pictureOrgChart+Icon"/>
    <dgm:cxn modelId="{DCF1F3D2-9737-4458-9ECC-592F5DA88E5B}" type="presParOf" srcId="{6355AE00-4920-4EDD-96E9-92801D64BD46}" destId="{A0DCAC6B-C17F-4B81-A549-AA9A9F11E612}" srcOrd="0" destOrd="0" presId="urn:microsoft.com/office/officeart/2005/8/layout/pictureOrgChart+Icon"/>
    <dgm:cxn modelId="{7D4C5322-B41A-4145-AD81-596A5EEE209F}" type="presParOf" srcId="{A0DCAC6B-C17F-4B81-A549-AA9A9F11E612}" destId="{EAD38AF5-E3BD-4DF0-90AC-FA33843F94E7}" srcOrd="0" destOrd="0" presId="urn:microsoft.com/office/officeart/2005/8/layout/pictureOrgChart+Icon"/>
    <dgm:cxn modelId="{F022E84F-B208-4B71-A078-8156485C3169}" type="presParOf" srcId="{A0DCAC6B-C17F-4B81-A549-AA9A9F11E612}" destId="{0DA3F3D4-645C-42AF-A5F2-A6703693019F}" srcOrd="1" destOrd="0" presId="urn:microsoft.com/office/officeart/2005/8/layout/pictureOrgChart+Icon"/>
    <dgm:cxn modelId="{9E198050-10D2-4540-BE78-5311329B19E2}" type="presParOf" srcId="{A0DCAC6B-C17F-4B81-A549-AA9A9F11E612}" destId="{940EAA51-F9AB-425A-ABD5-AA9B18E22AE5}" srcOrd="2" destOrd="0" presId="urn:microsoft.com/office/officeart/2005/8/layout/pictureOrgChart+Icon"/>
    <dgm:cxn modelId="{FFD16AF4-DE73-4A6F-B329-C5197E6B092F}" type="presParOf" srcId="{6355AE00-4920-4EDD-96E9-92801D64BD46}" destId="{CA9FBDFD-7C14-4411-8B43-485E47E30677}" srcOrd="1" destOrd="0" presId="urn:microsoft.com/office/officeart/2005/8/layout/pictureOrgChart+Icon"/>
    <dgm:cxn modelId="{4E8E5339-CB8D-4505-89BE-144A7E8EBA2C}" type="presParOf" srcId="{6355AE00-4920-4EDD-96E9-92801D64BD46}" destId="{1A493FB2-E79B-461B-8AE2-7C02EF9A6D7A}" srcOrd="2" destOrd="0" presId="urn:microsoft.com/office/officeart/2005/8/layout/pictureOrgChart+Icon"/>
    <dgm:cxn modelId="{BC1F7739-FFA1-4FC0-91B4-209BA49AFE1B}" type="presParOf" srcId="{4E75D476-3A8E-4063-AE4A-D4F3095A80B5}" destId="{02B5F93F-B7CC-494A-9EB7-C0C6C7755158}" srcOrd="8" destOrd="0" presId="urn:microsoft.com/office/officeart/2005/8/layout/pictureOrgChart+Icon"/>
    <dgm:cxn modelId="{748FC598-35EB-40C1-B54A-C241DDD743D6}" type="presParOf" srcId="{4E75D476-3A8E-4063-AE4A-D4F3095A80B5}" destId="{5B59D44E-9600-40B6-B482-1D9C126509D7}" srcOrd="9" destOrd="0" presId="urn:microsoft.com/office/officeart/2005/8/layout/pictureOrgChart+Icon"/>
    <dgm:cxn modelId="{FA8304D1-96CC-481F-982C-88E87CFA9CA1}" type="presParOf" srcId="{5B59D44E-9600-40B6-B482-1D9C126509D7}" destId="{739E0E1A-CDBB-4E7D-A993-F3A4C6A671F6}" srcOrd="0" destOrd="0" presId="urn:microsoft.com/office/officeart/2005/8/layout/pictureOrgChart+Icon"/>
    <dgm:cxn modelId="{24D8CA43-41FE-4C3F-B141-CD78CD154F0D}" type="presParOf" srcId="{739E0E1A-CDBB-4E7D-A993-F3A4C6A671F6}" destId="{A9CAD70D-91F0-4CCC-9BA2-F4A6B135B7AF}" srcOrd="0" destOrd="0" presId="urn:microsoft.com/office/officeart/2005/8/layout/pictureOrgChart+Icon"/>
    <dgm:cxn modelId="{09C7BDB6-C0AB-4B1F-8922-6D778463A4D2}" type="presParOf" srcId="{739E0E1A-CDBB-4E7D-A993-F3A4C6A671F6}" destId="{2C507B93-B328-4DF1-B856-AF54DAB8DD82}" srcOrd="1" destOrd="0" presId="urn:microsoft.com/office/officeart/2005/8/layout/pictureOrgChart+Icon"/>
    <dgm:cxn modelId="{D0D2E798-81FC-4EDB-B80C-C864944152DE}" type="presParOf" srcId="{739E0E1A-CDBB-4E7D-A993-F3A4C6A671F6}" destId="{6705F803-C25F-458B-8323-C057785AD51F}" srcOrd="2" destOrd="0" presId="urn:microsoft.com/office/officeart/2005/8/layout/pictureOrgChart+Icon"/>
    <dgm:cxn modelId="{99DD7728-A304-4710-96A3-4C73941EFBD1}" type="presParOf" srcId="{5B59D44E-9600-40B6-B482-1D9C126509D7}" destId="{F06A084F-75A7-48B4-B356-79A4775ACD14}" srcOrd="1" destOrd="0" presId="urn:microsoft.com/office/officeart/2005/8/layout/pictureOrgChart+Icon"/>
    <dgm:cxn modelId="{7E050ADD-41E3-4FA0-A15E-2AF662E17CC5}" type="presParOf" srcId="{5B59D44E-9600-40B6-B482-1D9C126509D7}" destId="{A2FEF75C-9D98-48FA-8AE8-5C40D928AFBD}" srcOrd="2" destOrd="0" presId="urn:microsoft.com/office/officeart/2005/8/layout/pictureOrgChart+Icon"/>
    <dgm:cxn modelId="{87FE390E-EE99-4986-A099-71FAFE0D405B}" type="presParOf" srcId="{A11A7C6F-BFC5-4F5D-9134-030906668D22}" destId="{3395A6A8-D05E-445B-B09B-6803360B5475}" srcOrd="2" destOrd="0" presId="urn:microsoft.com/office/officeart/2005/8/layout/pictureOrgChart+Icon"/>
    <dgm:cxn modelId="{03AF16CB-7D76-486B-B6A5-69423D280769}" type="presParOf" srcId="{3395A6A8-D05E-445B-B09B-6803360B5475}" destId="{CFB741E2-CCAD-4BF7-9219-29CB78C56C37}" srcOrd="0" destOrd="0" presId="urn:microsoft.com/office/officeart/2005/8/layout/pictureOrgChart+Icon"/>
    <dgm:cxn modelId="{1323705C-DCF1-46B8-926A-33049D56FBEA}" type="presParOf" srcId="{3395A6A8-D05E-445B-B09B-6803360B5475}" destId="{C107FAD7-01B8-4DC9-BB98-F34358A2D153}" srcOrd="1" destOrd="0" presId="urn:microsoft.com/office/officeart/2005/8/layout/pictureOrgChart+Icon"/>
    <dgm:cxn modelId="{42E25FB1-8728-41B5-AB53-00BF47353B64}" type="presParOf" srcId="{C107FAD7-01B8-4DC9-BB98-F34358A2D153}" destId="{FED468B8-B690-43C8-A137-2CB95711EDA8}" srcOrd="0" destOrd="0" presId="urn:microsoft.com/office/officeart/2005/8/layout/pictureOrgChart+Icon"/>
    <dgm:cxn modelId="{E5CF071D-DBA5-489F-8D23-1A676E4589A2}" type="presParOf" srcId="{FED468B8-B690-43C8-A137-2CB95711EDA8}" destId="{BD447BAE-B200-44BB-AF39-9DDD1E2D13DD}" srcOrd="0" destOrd="0" presId="urn:microsoft.com/office/officeart/2005/8/layout/pictureOrgChart+Icon"/>
    <dgm:cxn modelId="{1034A29F-BE1F-4ADB-8DF1-E84A394E11AC}" type="presParOf" srcId="{FED468B8-B690-43C8-A137-2CB95711EDA8}" destId="{2F542769-F974-4153-8658-68CA461FA3C5}" srcOrd="1" destOrd="0" presId="urn:microsoft.com/office/officeart/2005/8/layout/pictureOrgChart+Icon"/>
    <dgm:cxn modelId="{CB2D4150-C78E-408D-8437-CFA839CD4DE8}" type="presParOf" srcId="{FED468B8-B690-43C8-A137-2CB95711EDA8}" destId="{FF6F7FDC-CA8D-4360-9568-FC5ED55EC951}" srcOrd="2" destOrd="0" presId="urn:microsoft.com/office/officeart/2005/8/layout/pictureOrgChart+Icon"/>
    <dgm:cxn modelId="{7703122E-10F2-46D7-B8D3-86809A097C6A}" type="presParOf" srcId="{C107FAD7-01B8-4DC9-BB98-F34358A2D153}" destId="{D42531E4-6E58-4BCC-9BD1-B309A3257656}" srcOrd="1" destOrd="0" presId="urn:microsoft.com/office/officeart/2005/8/layout/pictureOrgChart+Icon"/>
    <dgm:cxn modelId="{25F1A878-15C3-480D-B5A9-084AEAA264EE}" type="presParOf" srcId="{C107FAD7-01B8-4DC9-BB98-F34358A2D153}" destId="{318E8C41-14C7-4649-B844-CE47EBAD2F4E}" srcOrd="2" destOrd="0" presId="urn:microsoft.com/office/officeart/2005/8/layout/pictureOrgChart+Icon"/>
    <dgm:cxn modelId="{2C5EA7B7-E449-4CB0-90B2-5C2EC8112BF7}" type="presParOf" srcId="{3395A6A8-D05E-445B-B09B-6803360B5475}" destId="{3397FFAC-2F66-4780-9BB0-A978678B5B49}" srcOrd="2" destOrd="0" presId="urn:microsoft.com/office/officeart/2005/8/layout/pictureOrgChart+Icon"/>
    <dgm:cxn modelId="{671B835B-5206-416B-B93C-198675CF3137}" type="presParOf" srcId="{3395A6A8-D05E-445B-B09B-6803360B5475}" destId="{C3C8F04B-5323-447D-B68D-EDC672B581C0}" srcOrd="3" destOrd="0" presId="urn:microsoft.com/office/officeart/2005/8/layout/pictureOrgChart+Icon"/>
    <dgm:cxn modelId="{2DE174B1-8478-42E2-AF7A-959B019AC5D3}" type="presParOf" srcId="{C3C8F04B-5323-447D-B68D-EDC672B581C0}" destId="{B22BE526-9A75-45E7-9F56-91E44E25CF7C}" srcOrd="0" destOrd="0" presId="urn:microsoft.com/office/officeart/2005/8/layout/pictureOrgChart+Icon"/>
    <dgm:cxn modelId="{6250FF47-7B8C-4010-B135-30527228E215}" type="presParOf" srcId="{B22BE526-9A75-45E7-9F56-91E44E25CF7C}" destId="{50EC18C1-5140-496D-B99D-6BE60D003AE1}" srcOrd="0" destOrd="0" presId="urn:microsoft.com/office/officeart/2005/8/layout/pictureOrgChart+Icon"/>
    <dgm:cxn modelId="{C439B395-7A55-4D8D-B59A-D3F60A1C00E5}" type="presParOf" srcId="{B22BE526-9A75-45E7-9F56-91E44E25CF7C}" destId="{84EB6FB4-A68E-4DF8-B154-A93D625814F4}" srcOrd="1" destOrd="0" presId="urn:microsoft.com/office/officeart/2005/8/layout/pictureOrgChart+Icon"/>
    <dgm:cxn modelId="{F067EAE7-4C27-4562-BD03-5A64A3D8C24B}" type="presParOf" srcId="{B22BE526-9A75-45E7-9F56-91E44E25CF7C}" destId="{D41F74E9-AEA7-4B42-A693-45A2FC14DB15}" srcOrd="2" destOrd="0" presId="urn:microsoft.com/office/officeart/2005/8/layout/pictureOrgChart+Icon"/>
    <dgm:cxn modelId="{704281D5-B9FB-435E-BB5A-5C9FB4A00C40}" type="presParOf" srcId="{C3C8F04B-5323-447D-B68D-EDC672B581C0}" destId="{2062108A-F5D3-4D28-AEEF-C82C950227E5}" srcOrd="1" destOrd="0" presId="urn:microsoft.com/office/officeart/2005/8/layout/pictureOrgChart+Icon"/>
    <dgm:cxn modelId="{9DD593E6-ABA0-4591-AB1E-46E728550FD6}" type="presParOf" srcId="{C3C8F04B-5323-447D-B68D-EDC672B581C0}" destId="{D3048F44-F131-4768-A7EE-AE44737A4827}" srcOrd="2" destOrd="0" presId="urn:microsoft.com/office/officeart/2005/8/layout/pictureOrgChart+Icon"/>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97FFAC-2F66-4780-9BB0-A978678B5B49}">
      <dsp:nvSpPr>
        <dsp:cNvPr id="0" name=""/>
        <dsp:cNvSpPr/>
      </dsp:nvSpPr>
      <dsp:spPr>
        <a:xfrm>
          <a:off x="2743200" y="1168125"/>
          <a:ext cx="98625" cy="432074"/>
        </a:xfrm>
        <a:custGeom>
          <a:avLst/>
          <a:gdLst/>
          <a:ahLst/>
          <a:cxnLst/>
          <a:rect l="0" t="0" r="0" b="0"/>
          <a:pathLst>
            <a:path>
              <a:moveTo>
                <a:pt x="0" y="0"/>
              </a:moveTo>
              <a:lnTo>
                <a:pt x="0" y="432074"/>
              </a:lnTo>
              <a:lnTo>
                <a:pt x="98625" y="43207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B741E2-CCAD-4BF7-9219-29CB78C56C37}">
      <dsp:nvSpPr>
        <dsp:cNvPr id="0" name=""/>
        <dsp:cNvSpPr/>
      </dsp:nvSpPr>
      <dsp:spPr>
        <a:xfrm>
          <a:off x="2644574" y="1168125"/>
          <a:ext cx="98625" cy="432074"/>
        </a:xfrm>
        <a:custGeom>
          <a:avLst/>
          <a:gdLst/>
          <a:ahLst/>
          <a:cxnLst/>
          <a:rect l="0" t="0" r="0" b="0"/>
          <a:pathLst>
            <a:path>
              <a:moveTo>
                <a:pt x="98625" y="0"/>
              </a:moveTo>
              <a:lnTo>
                <a:pt x="98625" y="432074"/>
              </a:lnTo>
              <a:lnTo>
                <a:pt x="0" y="43207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B5F93F-B7CC-494A-9EB7-C0C6C7755158}">
      <dsp:nvSpPr>
        <dsp:cNvPr id="0" name=""/>
        <dsp:cNvSpPr/>
      </dsp:nvSpPr>
      <dsp:spPr>
        <a:xfrm>
          <a:off x="2743200" y="1168125"/>
          <a:ext cx="2273085" cy="864148"/>
        </a:xfrm>
        <a:custGeom>
          <a:avLst/>
          <a:gdLst/>
          <a:ahLst/>
          <a:cxnLst/>
          <a:rect l="0" t="0" r="0" b="0"/>
          <a:pathLst>
            <a:path>
              <a:moveTo>
                <a:pt x="0" y="0"/>
              </a:moveTo>
              <a:lnTo>
                <a:pt x="0" y="765522"/>
              </a:lnTo>
              <a:lnTo>
                <a:pt x="2273085" y="765522"/>
              </a:lnTo>
              <a:lnTo>
                <a:pt x="2273085" y="86414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79B8FB-368C-4E8D-AD1C-F94604004521}">
      <dsp:nvSpPr>
        <dsp:cNvPr id="0" name=""/>
        <dsp:cNvSpPr/>
      </dsp:nvSpPr>
      <dsp:spPr>
        <a:xfrm>
          <a:off x="2743200" y="1168125"/>
          <a:ext cx="1136542" cy="864148"/>
        </a:xfrm>
        <a:custGeom>
          <a:avLst/>
          <a:gdLst/>
          <a:ahLst/>
          <a:cxnLst/>
          <a:rect l="0" t="0" r="0" b="0"/>
          <a:pathLst>
            <a:path>
              <a:moveTo>
                <a:pt x="0" y="0"/>
              </a:moveTo>
              <a:lnTo>
                <a:pt x="0" y="765522"/>
              </a:lnTo>
              <a:lnTo>
                <a:pt x="1136542" y="765522"/>
              </a:lnTo>
              <a:lnTo>
                <a:pt x="1136542" y="86414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5F779A-061A-466D-AEA6-51A6B1B9F8E7}">
      <dsp:nvSpPr>
        <dsp:cNvPr id="0" name=""/>
        <dsp:cNvSpPr/>
      </dsp:nvSpPr>
      <dsp:spPr>
        <a:xfrm>
          <a:off x="2697480" y="1168125"/>
          <a:ext cx="91440" cy="864148"/>
        </a:xfrm>
        <a:custGeom>
          <a:avLst/>
          <a:gdLst/>
          <a:ahLst/>
          <a:cxnLst/>
          <a:rect l="0" t="0" r="0" b="0"/>
          <a:pathLst>
            <a:path>
              <a:moveTo>
                <a:pt x="45720" y="0"/>
              </a:moveTo>
              <a:lnTo>
                <a:pt x="45720" y="86414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361472-DA05-42A9-91CB-C970AFC57CB5}">
      <dsp:nvSpPr>
        <dsp:cNvPr id="0" name=""/>
        <dsp:cNvSpPr/>
      </dsp:nvSpPr>
      <dsp:spPr>
        <a:xfrm>
          <a:off x="1606657" y="1168125"/>
          <a:ext cx="1136542" cy="864148"/>
        </a:xfrm>
        <a:custGeom>
          <a:avLst/>
          <a:gdLst/>
          <a:ahLst/>
          <a:cxnLst/>
          <a:rect l="0" t="0" r="0" b="0"/>
          <a:pathLst>
            <a:path>
              <a:moveTo>
                <a:pt x="1136542" y="0"/>
              </a:moveTo>
              <a:lnTo>
                <a:pt x="1136542" y="765522"/>
              </a:lnTo>
              <a:lnTo>
                <a:pt x="0" y="765522"/>
              </a:lnTo>
              <a:lnTo>
                <a:pt x="0" y="86414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529808-DB86-4348-8180-18104148ED12}">
      <dsp:nvSpPr>
        <dsp:cNvPr id="0" name=""/>
        <dsp:cNvSpPr/>
      </dsp:nvSpPr>
      <dsp:spPr>
        <a:xfrm>
          <a:off x="470114" y="1168125"/>
          <a:ext cx="2273085" cy="864148"/>
        </a:xfrm>
        <a:custGeom>
          <a:avLst/>
          <a:gdLst/>
          <a:ahLst/>
          <a:cxnLst/>
          <a:rect l="0" t="0" r="0" b="0"/>
          <a:pathLst>
            <a:path>
              <a:moveTo>
                <a:pt x="2273085" y="0"/>
              </a:moveTo>
              <a:lnTo>
                <a:pt x="2273085" y="765522"/>
              </a:lnTo>
              <a:lnTo>
                <a:pt x="0" y="765522"/>
              </a:lnTo>
              <a:lnTo>
                <a:pt x="0" y="86414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75FFC4-3DB0-46A4-ADE5-6B02122444EC}">
      <dsp:nvSpPr>
        <dsp:cNvPr id="0" name=""/>
        <dsp:cNvSpPr/>
      </dsp:nvSpPr>
      <dsp:spPr>
        <a:xfrm>
          <a:off x="2273554" y="698480"/>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Board of Directors</a:t>
          </a:r>
        </a:p>
      </dsp:txBody>
      <dsp:txXfrm>
        <a:off x="2273554" y="698480"/>
        <a:ext cx="939291" cy="469645"/>
      </dsp:txXfrm>
    </dsp:sp>
    <dsp:sp modelId="{C23D3C81-E119-4D97-82BF-45C4D7B5BC54}">
      <dsp:nvSpPr>
        <dsp:cNvPr id="0" name=""/>
        <dsp:cNvSpPr/>
      </dsp:nvSpPr>
      <dsp:spPr>
        <a:xfrm>
          <a:off x="2320518" y="745444"/>
          <a:ext cx="281787" cy="375716"/>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26000" b="-2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31C7A53-00BE-449E-AB61-2B1448A8DEF4}">
      <dsp:nvSpPr>
        <dsp:cNvPr id="0" name=""/>
        <dsp:cNvSpPr/>
      </dsp:nvSpPr>
      <dsp:spPr>
        <a:xfrm>
          <a:off x="468" y="2032274"/>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Operations Dept.</a:t>
          </a:r>
        </a:p>
      </dsp:txBody>
      <dsp:txXfrm>
        <a:off x="468" y="2032274"/>
        <a:ext cx="939291" cy="469645"/>
      </dsp:txXfrm>
    </dsp:sp>
    <dsp:sp modelId="{F7735DA4-63C1-4DA2-A4D8-2D0B5C78128D}">
      <dsp:nvSpPr>
        <dsp:cNvPr id="0" name=""/>
        <dsp:cNvSpPr/>
      </dsp:nvSpPr>
      <dsp:spPr>
        <a:xfrm>
          <a:off x="47433" y="2079238"/>
          <a:ext cx="281787" cy="375716"/>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2237220-BDFF-49F2-9550-B7D2BF8CB8EA}">
      <dsp:nvSpPr>
        <dsp:cNvPr id="0" name=""/>
        <dsp:cNvSpPr/>
      </dsp:nvSpPr>
      <dsp:spPr>
        <a:xfrm>
          <a:off x="1137011" y="2032274"/>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Human Resource Dept.</a:t>
          </a:r>
        </a:p>
      </dsp:txBody>
      <dsp:txXfrm>
        <a:off x="1137011" y="2032274"/>
        <a:ext cx="939291" cy="469645"/>
      </dsp:txXfrm>
    </dsp:sp>
    <dsp:sp modelId="{DBFF5FEC-D333-4E30-AE01-DDEDCBFDB80E}">
      <dsp:nvSpPr>
        <dsp:cNvPr id="0" name=""/>
        <dsp:cNvSpPr/>
      </dsp:nvSpPr>
      <dsp:spPr>
        <a:xfrm>
          <a:off x="1183976" y="2079238"/>
          <a:ext cx="281787" cy="375716"/>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458DBDF-0180-4DEA-BE92-6DBBCB8DED3E}">
      <dsp:nvSpPr>
        <dsp:cNvPr id="0" name=""/>
        <dsp:cNvSpPr/>
      </dsp:nvSpPr>
      <dsp:spPr>
        <a:xfrm>
          <a:off x="2273554" y="2032274"/>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Marketing and Public Relations Dept. </a:t>
          </a:r>
        </a:p>
      </dsp:txBody>
      <dsp:txXfrm>
        <a:off x="2273554" y="2032274"/>
        <a:ext cx="939291" cy="469645"/>
      </dsp:txXfrm>
    </dsp:sp>
    <dsp:sp modelId="{49CA654B-2F29-4E5A-B121-196EEBE68953}">
      <dsp:nvSpPr>
        <dsp:cNvPr id="0" name=""/>
        <dsp:cNvSpPr/>
      </dsp:nvSpPr>
      <dsp:spPr>
        <a:xfrm>
          <a:off x="2320518" y="2079238"/>
          <a:ext cx="281787" cy="375716"/>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AD38AF5-E3BD-4DF0-90AC-FA33843F94E7}">
      <dsp:nvSpPr>
        <dsp:cNvPr id="0" name=""/>
        <dsp:cNvSpPr/>
      </dsp:nvSpPr>
      <dsp:spPr>
        <a:xfrm>
          <a:off x="3410096" y="2032274"/>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IT &amp; Research Dept.</a:t>
          </a:r>
        </a:p>
      </dsp:txBody>
      <dsp:txXfrm>
        <a:off x="3410096" y="2032274"/>
        <a:ext cx="939291" cy="469645"/>
      </dsp:txXfrm>
    </dsp:sp>
    <dsp:sp modelId="{0DA3F3D4-645C-42AF-A5F2-A6703693019F}">
      <dsp:nvSpPr>
        <dsp:cNvPr id="0" name=""/>
        <dsp:cNvSpPr/>
      </dsp:nvSpPr>
      <dsp:spPr>
        <a:xfrm>
          <a:off x="3457061" y="2079238"/>
          <a:ext cx="281787" cy="375716"/>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9CAD70D-91F0-4CCC-9BA2-F4A6B135B7AF}">
      <dsp:nvSpPr>
        <dsp:cNvPr id="0" name=""/>
        <dsp:cNvSpPr/>
      </dsp:nvSpPr>
      <dsp:spPr>
        <a:xfrm>
          <a:off x="4546639" y="2032274"/>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Finance Department</a:t>
          </a:r>
        </a:p>
      </dsp:txBody>
      <dsp:txXfrm>
        <a:off x="4546639" y="2032274"/>
        <a:ext cx="939291" cy="469645"/>
      </dsp:txXfrm>
    </dsp:sp>
    <dsp:sp modelId="{2C507B93-B328-4DF1-B856-AF54DAB8DD82}">
      <dsp:nvSpPr>
        <dsp:cNvPr id="0" name=""/>
        <dsp:cNvSpPr/>
      </dsp:nvSpPr>
      <dsp:spPr>
        <a:xfrm>
          <a:off x="4593604" y="2079238"/>
          <a:ext cx="281787" cy="375716"/>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D447BAE-B200-44BB-AF39-9DDD1E2D13DD}">
      <dsp:nvSpPr>
        <dsp:cNvPr id="0" name=""/>
        <dsp:cNvSpPr/>
      </dsp:nvSpPr>
      <dsp:spPr>
        <a:xfrm>
          <a:off x="1705282" y="1365377"/>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Board Secretary</a:t>
          </a:r>
        </a:p>
      </dsp:txBody>
      <dsp:txXfrm>
        <a:off x="1705282" y="1365377"/>
        <a:ext cx="939291" cy="469645"/>
      </dsp:txXfrm>
    </dsp:sp>
    <dsp:sp modelId="{2F542769-F974-4153-8658-68CA461FA3C5}">
      <dsp:nvSpPr>
        <dsp:cNvPr id="0" name=""/>
        <dsp:cNvSpPr/>
      </dsp:nvSpPr>
      <dsp:spPr>
        <a:xfrm>
          <a:off x="1752247" y="1412341"/>
          <a:ext cx="281787" cy="375716"/>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0EC18C1-5140-496D-B99D-6BE60D003AE1}">
      <dsp:nvSpPr>
        <dsp:cNvPr id="0" name=""/>
        <dsp:cNvSpPr/>
      </dsp:nvSpPr>
      <dsp:spPr>
        <a:xfrm>
          <a:off x="2841825" y="1365377"/>
          <a:ext cx="939291" cy="4696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7929" tIns="5080" rIns="5080" bIns="5080" numCol="1" spcCol="1270" anchor="ctr" anchorCtr="0">
          <a:noAutofit/>
        </a:bodyPr>
        <a:lstStyle/>
        <a:p>
          <a:pPr lvl="0" algn="ctr" defTabSz="355600">
            <a:lnSpc>
              <a:spcPct val="90000"/>
            </a:lnSpc>
            <a:spcBef>
              <a:spcPct val="0"/>
            </a:spcBef>
            <a:spcAft>
              <a:spcPct val="35000"/>
            </a:spcAft>
          </a:pPr>
          <a:r>
            <a:rPr lang="en-US" sz="800" kern="1200"/>
            <a:t>CEO</a:t>
          </a:r>
        </a:p>
      </dsp:txBody>
      <dsp:txXfrm>
        <a:off x="2841825" y="1365377"/>
        <a:ext cx="939291" cy="469645"/>
      </dsp:txXfrm>
    </dsp:sp>
    <dsp:sp modelId="{84EB6FB4-A68E-4DF8-B154-A93D625814F4}">
      <dsp:nvSpPr>
        <dsp:cNvPr id="0" name=""/>
        <dsp:cNvSpPr/>
      </dsp:nvSpPr>
      <dsp:spPr>
        <a:xfrm>
          <a:off x="2888790" y="1412341"/>
          <a:ext cx="281787" cy="375716"/>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ictureOrgChart+Icon">
  <dgm:title val="Picture Organization Chart"/>
  <dgm:desc val="Use to show hierarchical information or reporting relationships in an organization, with corresponding pictures. The assistant shape and the Org Chart hanging layouts are available with this layout."/>
  <dgm:catLst>
    <dgm:cat type="hierarchy" pri="1050"/>
    <dgm:cat type="officeonline" pri="1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1" styleLbl="alignImgPlace1">
              <dgm:alg type="sp"/>
              <dgm:shape xmlns:r="http://schemas.openxmlformats.org/officeDocument/2006/relationships" type="rect" r:blip="" blipPhldr="1">
                <dgm:adjLst/>
              </dgm:shape>
              <dgm:presOf/>
              <dgm:constrLst/>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 styleLbl="alignImgPlace1">
                    <dgm:alg type="sp"/>
                    <dgm:shape xmlns:r="http://schemas.openxmlformats.org/officeDocument/2006/relationships" type="rect" r:blip="" blipPhldr="1">
                      <dgm:adjLst/>
                    </dgm:shape>
                    <dgm:presOf/>
                    <dgm:constrLst/>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3" styleLbl="alignImgPlace1">
                    <dgm:alg type="sp"/>
                    <dgm:shape xmlns:r="http://schemas.openxmlformats.org/officeDocument/2006/relationships" type="rect" r:blip="" blipPhldr="1">
                      <dgm:adjLst/>
                    </dgm:shape>
                    <dgm:presOf/>
                    <dgm:constrLst/>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F3C89-D27F-4324-B665-5238A0CDF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3023</Words>
  <Characters>17235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tomminah</dc:creator>
  <cp:lastModifiedBy>Kevin</cp:lastModifiedBy>
  <cp:revision>2</cp:revision>
  <dcterms:created xsi:type="dcterms:W3CDTF">2021-10-21T16:57:00Z</dcterms:created>
  <dcterms:modified xsi:type="dcterms:W3CDTF">2021-10-21T16:57:00Z</dcterms:modified>
</cp:coreProperties>
</file>